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83C7C" w14:textId="48645192" w:rsidR="00DF5DD5" w:rsidRPr="00835B9C" w:rsidRDefault="00471571">
      <w:pPr>
        <w:rPr>
          <w:rFonts w:ascii="Cambria" w:hAnsi="Cambria"/>
          <w:lang w:val="sr-Cyrl-RS"/>
        </w:rPr>
      </w:pPr>
      <w:r w:rsidRPr="00835B9C">
        <w:rPr>
          <w:rFonts w:ascii="Cambria" w:hAnsi="Cambria"/>
          <w:lang w:val="sr-Cyrl-RS"/>
        </w:rPr>
        <w:t xml:space="preserve"> </w:t>
      </w:r>
    </w:p>
    <w:p w14:paraId="4B9A3A9C" w14:textId="77777777" w:rsidR="00471571" w:rsidRPr="00835B9C" w:rsidRDefault="00471571">
      <w:pPr>
        <w:rPr>
          <w:rFonts w:ascii="Cambria" w:hAnsi="Cambria"/>
          <w:lang w:val="sr-Cyrl-RS"/>
        </w:rPr>
      </w:pPr>
    </w:p>
    <w:p w14:paraId="381C3669" w14:textId="77777777"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ИНТЕРНИ ПРОЈЕКАТ ФИЛОЗОФСКОГ ФАКУЛТЕТА У НИШУ</w:t>
      </w:r>
    </w:p>
    <w:p w14:paraId="5CEE10C8" w14:textId="77777777"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(академска 2019/2020. година)</w:t>
      </w:r>
    </w:p>
    <w:p w14:paraId="3406A51E" w14:textId="77777777" w:rsidR="00060B52" w:rsidRPr="00835B9C" w:rsidRDefault="00060B52" w:rsidP="00060B52">
      <w:pPr>
        <w:jc w:val="both"/>
        <w:rPr>
          <w:rFonts w:ascii="Cambria" w:hAnsi="Cambria"/>
          <w:lang w:val="sr-Cyrl-RS"/>
        </w:rPr>
      </w:pPr>
    </w:p>
    <w:p w14:paraId="7DF94F47" w14:textId="77777777" w:rsidR="00060B52" w:rsidRPr="00835B9C" w:rsidRDefault="00060B52" w:rsidP="00060B52">
      <w:pPr>
        <w:jc w:val="both"/>
        <w:rPr>
          <w:rFonts w:ascii="Cambria" w:hAnsi="Cambria"/>
          <w:lang w:val="sr-Cyrl-RS"/>
        </w:rPr>
      </w:pPr>
    </w:p>
    <w:p w14:paraId="60635FC3" w14:textId="77777777" w:rsidR="00060B52" w:rsidRPr="00835B9C" w:rsidRDefault="00060B52" w:rsidP="00060B52">
      <w:pPr>
        <w:jc w:val="both"/>
        <w:rPr>
          <w:rFonts w:ascii="Cambria" w:hAnsi="Cambria"/>
          <w:lang w:val="sr-Cyrl-RS"/>
        </w:rPr>
      </w:pPr>
    </w:p>
    <w:p w14:paraId="5F5D972D" w14:textId="77777777" w:rsidR="00060B52" w:rsidRPr="00835B9C" w:rsidRDefault="00060B52" w:rsidP="00060B52">
      <w:pPr>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8540"/>
      </w:tblGrid>
      <w:tr w:rsidR="00060B52" w:rsidRPr="00835B9C" w14:paraId="18515C0F" w14:textId="77777777" w:rsidTr="00274758">
        <w:tc>
          <w:tcPr>
            <w:tcW w:w="2448" w:type="dxa"/>
          </w:tcPr>
          <w:p w14:paraId="247D834C" w14:textId="77777777" w:rsidR="00060B52" w:rsidRPr="00835B9C" w:rsidRDefault="00060B52" w:rsidP="00274758">
            <w:pPr>
              <w:rPr>
                <w:rFonts w:ascii="Cambria" w:hAnsi="Cambria"/>
                <w:b/>
                <w:lang w:val="sr-Cyrl-RS"/>
              </w:rPr>
            </w:pPr>
            <w:r w:rsidRPr="00835B9C">
              <w:rPr>
                <w:rFonts w:ascii="Cambria" w:hAnsi="Cambria"/>
                <w:b/>
                <w:lang w:val="sr-Cyrl-RS"/>
              </w:rPr>
              <w:t>Департман који реализује пројекат</w:t>
            </w:r>
          </w:p>
        </w:tc>
        <w:tc>
          <w:tcPr>
            <w:tcW w:w="8540" w:type="dxa"/>
          </w:tcPr>
          <w:p w14:paraId="7E22CE4D" w14:textId="3D30AE34" w:rsidR="00060B52" w:rsidRPr="004D7519" w:rsidRDefault="004D7519" w:rsidP="00274758">
            <w:pPr>
              <w:rPr>
                <w:rFonts w:ascii="Cambria" w:hAnsi="Cambria"/>
                <w:lang w:val="sr-Cyrl-RS"/>
              </w:rPr>
            </w:pPr>
            <w:r>
              <w:rPr>
                <w:rFonts w:ascii="Cambria" w:hAnsi="Cambria"/>
                <w:lang w:val="sr-Cyrl-RS"/>
              </w:rPr>
              <w:t>Филозофија</w:t>
            </w:r>
          </w:p>
        </w:tc>
      </w:tr>
      <w:tr w:rsidR="00060B52" w:rsidRPr="00835B9C" w14:paraId="0E990955" w14:textId="77777777" w:rsidTr="00274758">
        <w:tc>
          <w:tcPr>
            <w:tcW w:w="2448" w:type="dxa"/>
          </w:tcPr>
          <w:p w14:paraId="04455723" w14:textId="77777777" w:rsidR="00060B52" w:rsidRPr="00835B9C" w:rsidRDefault="00060B52" w:rsidP="00274758">
            <w:pPr>
              <w:rPr>
                <w:rFonts w:ascii="Cambria" w:hAnsi="Cambria"/>
                <w:b/>
                <w:lang w:val="sr-Cyrl-RS"/>
              </w:rPr>
            </w:pPr>
            <w:r w:rsidRPr="00835B9C">
              <w:rPr>
                <w:rFonts w:ascii="Cambria" w:hAnsi="Cambria"/>
                <w:b/>
                <w:lang w:val="sr-Cyrl-RS"/>
              </w:rPr>
              <w:t>Назив пројекта</w:t>
            </w:r>
          </w:p>
        </w:tc>
        <w:tc>
          <w:tcPr>
            <w:tcW w:w="8540" w:type="dxa"/>
          </w:tcPr>
          <w:p w14:paraId="732C8937" w14:textId="7890F708" w:rsidR="00060B52" w:rsidRPr="00835B9C" w:rsidRDefault="004D7519" w:rsidP="00274758">
            <w:pPr>
              <w:rPr>
                <w:rFonts w:ascii="Cambria" w:hAnsi="Cambria"/>
                <w:lang w:val="sr-Cyrl-RS"/>
              </w:rPr>
            </w:pPr>
            <w:r>
              <w:rPr>
                <w:rFonts w:ascii="Cambria" w:hAnsi="Cambria"/>
                <w:lang w:val="sr-Cyrl-RS"/>
              </w:rPr>
              <w:t>Утицај курсева из филозофије на ставове студената (наставак пројекта)</w:t>
            </w:r>
          </w:p>
        </w:tc>
      </w:tr>
      <w:tr w:rsidR="00060B52" w:rsidRPr="00835B9C" w14:paraId="7A1C1E08" w14:textId="77777777" w:rsidTr="00274758">
        <w:tc>
          <w:tcPr>
            <w:tcW w:w="2448" w:type="dxa"/>
          </w:tcPr>
          <w:p w14:paraId="2007A938" w14:textId="77777777" w:rsidR="00060B52" w:rsidRPr="00835B9C" w:rsidRDefault="00060B52" w:rsidP="00274758">
            <w:pPr>
              <w:rPr>
                <w:rFonts w:ascii="Cambria" w:hAnsi="Cambria"/>
                <w:b/>
                <w:lang w:val="sr-Cyrl-RS"/>
              </w:rPr>
            </w:pPr>
            <w:r w:rsidRPr="00835B9C">
              <w:rPr>
                <w:rFonts w:ascii="Cambria" w:hAnsi="Cambria"/>
                <w:b/>
                <w:lang w:val="sr-Cyrl-RS"/>
              </w:rPr>
              <w:t>Руководилац пројекта</w:t>
            </w:r>
          </w:p>
        </w:tc>
        <w:tc>
          <w:tcPr>
            <w:tcW w:w="8540" w:type="dxa"/>
          </w:tcPr>
          <w:p w14:paraId="60F38AAE" w14:textId="55090480" w:rsidR="00060B52" w:rsidRPr="00835B9C" w:rsidRDefault="004D7519" w:rsidP="00274758">
            <w:pPr>
              <w:rPr>
                <w:rFonts w:ascii="Cambria" w:hAnsi="Cambria"/>
                <w:lang w:val="sr-Cyrl-RS"/>
              </w:rPr>
            </w:pPr>
            <w:r>
              <w:rPr>
                <w:rFonts w:ascii="Cambria" w:hAnsi="Cambria"/>
                <w:lang w:val="sr-Cyrl-RS"/>
              </w:rPr>
              <w:t>Проф. Др Слађана Ристић-</w:t>
            </w:r>
            <w:proofErr w:type="spellStart"/>
            <w:r>
              <w:rPr>
                <w:rFonts w:ascii="Cambria" w:hAnsi="Cambria"/>
                <w:lang w:val="sr-Cyrl-RS"/>
              </w:rPr>
              <w:t>Горгиев</w:t>
            </w:r>
            <w:proofErr w:type="spellEnd"/>
          </w:p>
        </w:tc>
      </w:tr>
      <w:tr w:rsidR="00060B52" w:rsidRPr="00835B9C" w14:paraId="3BD71726" w14:textId="77777777" w:rsidTr="00274758">
        <w:tc>
          <w:tcPr>
            <w:tcW w:w="2448" w:type="dxa"/>
          </w:tcPr>
          <w:p w14:paraId="23B91D88" w14:textId="77777777" w:rsidR="00060B52" w:rsidRPr="00835B9C" w:rsidRDefault="00060B52" w:rsidP="00274758">
            <w:pPr>
              <w:rPr>
                <w:rFonts w:ascii="Cambria" w:hAnsi="Cambria"/>
                <w:b/>
                <w:lang w:val="sr-Cyrl-RS"/>
              </w:rPr>
            </w:pPr>
            <w:r w:rsidRPr="00835B9C">
              <w:rPr>
                <w:rFonts w:ascii="Cambria" w:hAnsi="Cambria"/>
                <w:b/>
                <w:lang w:val="sr-Cyrl-RS"/>
              </w:rPr>
              <w:t>Секретар пројекта</w:t>
            </w:r>
          </w:p>
        </w:tc>
        <w:tc>
          <w:tcPr>
            <w:tcW w:w="8540" w:type="dxa"/>
          </w:tcPr>
          <w:p w14:paraId="0FAEB15E" w14:textId="7256DD64" w:rsidR="00060B52" w:rsidRPr="00835B9C" w:rsidRDefault="004D7519" w:rsidP="00274758">
            <w:pPr>
              <w:rPr>
                <w:rFonts w:ascii="Cambria" w:hAnsi="Cambria"/>
                <w:lang w:val="sr-Cyrl-RS"/>
              </w:rPr>
            </w:pPr>
            <w:proofErr w:type="spellStart"/>
            <w:r>
              <w:rPr>
                <w:rFonts w:ascii="Cambria" w:hAnsi="Cambria"/>
                <w:lang w:val="sr-Cyrl-RS"/>
              </w:rPr>
              <w:t>Доц</w:t>
            </w:r>
            <w:proofErr w:type="spellEnd"/>
            <w:r>
              <w:rPr>
                <w:rFonts w:ascii="Cambria" w:hAnsi="Cambria"/>
                <w:lang w:val="sr-Cyrl-RS"/>
              </w:rPr>
              <w:t>. Др Бојан Благојевић</w:t>
            </w:r>
          </w:p>
        </w:tc>
      </w:tr>
    </w:tbl>
    <w:p w14:paraId="459FE8E4" w14:textId="77777777" w:rsidR="00060B52" w:rsidRPr="00835B9C" w:rsidRDefault="00060B52" w:rsidP="00060B52">
      <w:pPr>
        <w:ind w:left="284" w:hanging="284"/>
        <w:jc w:val="both"/>
        <w:rPr>
          <w:rFonts w:ascii="Cambria" w:hAnsi="Cambria"/>
          <w:sz w:val="20"/>
          <w:szCs w:val="20"/>
          <w:lang w:val="sr-Cyrl-RS"/>
        </w:rPr>
      </w:pPr>
    </w:p>
    <w:p w14:paraId="22B655BC" w14:textId="77777777" w:rsidR="00060B52" w:rsidRPr="00835B9C" w:rsidRDefault="00060B52" w:rsidP="00060B52">
      <w:pPr>
        <w:ind w:left="709" w:hanging="709"/>
        <w:jc w:val="both"/>
        <w:rPr>
          <w:rFonts w:ascii="Cambria" w:hAnsi="Cambria"/>
          <w:sz w:val="20"/>
          <w:szCs w:val="20"/>
          <w:lang w:val="sr-Cyrl-RS"/>
        </w:rPr>
      </w:pPr>
    </w:p>
    <w:p w14:paraId="1FFE22FF" w14:textId="77777777" w:rsidR="00060B52" w:rsidRPr="00835B9C" w:rsidRDefault="00060B52">
      <w:pPr>
        <w:rPr>
          <w:rFonts w:ascii="Cambria" w:hAnsi="Cambria"/>
          <w:lang w:val="sr-Cyrl-RS"/>
        </w:rPr>
      </w:pPr>
      <w:r w:rsidRPr="00835B9C">
        <w:rPr>
          <w:rFonts w:ascii="Cambria" w:hAnsi="Cambria"/>
          <w:lang w:val="sr-Cyrl-RS"/>
        </w:rPr>
        <w:br w:type="page"/>
      </w:r>
    </w:p>
    <w:p w14:paraId="10FDA37B" w14:textId="77777777" w:rsidR="00060B52" w:rsidRPr="00835B9C" w:rsidRDefault="00060B52" w:rsidP="00060B52">
      <w:pPr>
        <w:jc w:val="both"/>
        <w:rPr>
          <w:rFonts w:ascii="Cambria" w:hAnsi="Cambria"/>
          <w:lang w:val="sr-Cyrl-RS"/>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733A4C" w:rsidRPr="00835B9C" w14:paraId="4325BAE2" w14:textId="77777777" w:rsidTr="00835B9C">
        <w:tc>
          <w:tcPr>
            <w:tcW w:w="1838" w:type="dxa"/>
          </w:tcPr>
          <w:p w14:paraId="48635D28" w14:textId="77777777" w:rsidR="00733A4C" w:rsidRPr="00835B9C" w:rsidRDefault="00733A4C" w:rsidP="00733A4C">
            <w:pPr>
              <w:jc w:val="both"/>
              <w:rPr>
                <w:rFonts w:ascii="Cambria" w:hAnsi="Cambria"/>
                <w:b/>
                <w:lang w:val="sr-Cyrl-RS"/>
              </w:rPr>
            </w:pPr>
            <w:r w:rsidRPr="00835B9C">
              <w:rPr>
                <w:rFonts w:ascii="Cambria" w:hAnsi="Cambria"/>
                <w:b/>
                <w:lang w:val="sr-Cyrl-RS"/>
              </w:rPr>
              <w:t>Образложење пројекта</w:t>
            </w:r>
          </w:p>
        </w:tc>
        <w:tc>
          <w:tcPr>
            <w:tcW w:w="8227" w:type="dxa"/>
          </w:tcPr>
          <w:p w14:paraId="16721042" w14:textId="5461CBD7" w:rsidR="00733A4C" w:rsidRDefault="00733A4C" w:rsidP="00733A4C">
            <w:pPr>
              <w:jc w:val="both"/>
              <w:rPr>
                <w:sz w:val="20"/>
                <w:szCs w:val="20"/>
                <w:lang w:val="sr-Cyrl-RS"/>
              </w:rPr>
            </w:pPr>
            <w:r>
              <w:rPr>
                <w:sz w:val="20"/>
                <w:szCs w:val="20"/>
                <w:lang w:val="sr-Cyrl-RS"/>
              </w:rPr>
              <w:t>Пројект је наставак прошлогодишњег пројекта департмана за филозофију.</w:t>
            </w:r>
          </w:p>
          <w:p w14:paraId="316A5545" w14:textId="77777777" w:rsidR="00733A4C" w:rsidRDefault="00733A4C" w:rsidP="00733A4C">
            <w:pPr>
              <w:jc w:val="both"/>
              <w:rPr>
                <w:sz w:val="20"/>
                <w:szCs w:val="20"/>
                <w:lang w:val="sr-Cyrl-RS"/>
              </w:rPr>
            </w:pPr>
            <w:r w:rsidRPr="00416807">
              <w:rPr>
                <w:sz w:val="20"/>
                <w:szCs w:val="20"/>
                <w:lang w:val="sr-Cyrl-RS"/>
              </w:rPr>
              <w:t xml:space="preserve">Једно од стандардних питања везаних за наставу филозофије јесте њен утицај, с једне стране, на развој критичког мишљења, а са друге стране, на вредносне ставове студената (било да је реч о њиховим моралних или естетским интуицијама, њиховом ставу према вредности или дометима науке, према проблему васпитања, религије </w:t>
            </w:r>
            <w:proofErr w:type="spellStart"/>
            <w:r w:rsidRPr="00416807">
              <w:rPr>
                <w:sz w:val="20"/>
                <w:szCs w:val="20"/>
                <w:lang w:val="sr-Cyrl-RS"/>
              </w:rPr>
              <w:t>итд</w:t>
            </w:r>
            <w:proofErr w:type="spellEnd"/>
            <w:r w:rsidRPr="00416807">
              <w:rPr>
                <w:sz w:val="20"/>
                <w:szCs w:val="20"/>
                <w:lang w:val="sr-Cyrl-RS"/>
              </w:rPr>
              <w:t xml:space="preserve">). Но, под овим не подразумевамо утицај какав се обично погрешно приписује разним филозофским курсевима: настава из етике нема за задатак да студенте учини "бољима" нити настава из естетике смера да студенте научи да више цене лепоту или уметност. Оно на шта настава из курсева који се баве наведеном тематиком (Етика, Естетика, Филозофија науке, Филозофија васпитања, Филозофија религије </w:t>
            </w:r>
            <w:proofErr w:type="spellStart"/>
            <w:r w:rsidRPr="00416807">
              <w:rPr>
                <w:sz w:val="20"/>
                <w:szCs w:val="20"/>
                <w:lang w:val="sr-Cyrl-RS"/>
              </w:rPr>
              <w:t>итд</w:t>
            </w:r>
            <w:proofErr w:type="spellEnd"/>
            <w:r w:rsidRPr="00416807">
              <w:rPr>
                <w:sz w:val="20"/>
                <w:szCs w:val="20"/>
                <w:lang w:val="sr-Cyrl-RS"/>
              </w:rPr>
              <w:t xml:space="preserve">), пак, може (и треба) да учини утицај јесу интуиције које студенти имају о тој тематици. Тако студент који је пре наставе из етичких курсева био (по својим интуицијама) </w:t>
            </w:r>
            <w:proofErr w:type="spellStart"/>
            <w:r w:rsidRPr="00416807">
              <w:rPr>
                <w:sz w:val="20"/>
                <w:szCs w:val="20"/>
                <w:lang w:val="sr-Cyrl-RS"/>
              </w:rPr>
              <w:t>консеквенцијалиста</w:t>
            </w:r>
            <w:proofErr w:type="spellEnd"/>
            <w:r w:rsidRPr="00416807">
              <w:rPr>
                <w:sz w:val="20"/>
                <w:szCs w:val="20"/>
                <w:lang w:val="sr-Cyrl-RS"/>
              </w:rPr>
              <w:t xml:space="preserve"> може након те наставе заузети више </w:t>
            </w:r>
            <w:proofErr w:type="spellStart"/>
            <w:r w:rsidRPr="00416807">
              <w:rPr>
                <w:sz w:val="20"/>
                <w:szCs w:val="20"/>
                <w:lang w:val="sr-Cyrl-RS"/>
              </w:rPr>
              <w:t>деонтолошку</w:t>
            </w:r>
            <w:proofErr w:type="spellEnd"/>
            <w:r w:rsidRPr="00416807">
              <w:rPr>
                <w:sz w:val="20"/>
                <w:szCs w:val="20"/>
                <w:lang w:val="sr-Cyrl-RS"/>
              </w:rPr>
              <w:t xml:space="preserve"> позицију или обратно. Такође, студент који је скептичан према науци и њеним методама и сазнањима може према њој заузети много </w:t>
            </w:r>
            <w:proofErr w:type="spellStart"/>
            <w:r w:rsidRPr="00416807">
              <w:rPr>
                <w:sz w:val="20"/>
                <w:szCs w:val="20"/>
                <w:lang w:val="sr-Cyrl-RS"/>
              </w:rPr>
              <w:t>пријемчивији</w:t>
            </w:r>
            <w:proofErr w:type="spellEnd"/>
            <w:r w:rsidRPr="00416807">
              <w:rPr>
                <w:sz w:val="20"/>
                <w:szCs w:val="20"/>
                <w:lang w:val="sr-Cyrl-RS"/>
              </w:rPr>
              <w:t xml:space="preserve"> став након одслушаних курсева који се баве филозофијом науке или теоријом сазнања (као што и обратно може бити случај). Уколико се покаже да то јесте случај, поткрепили бисмо тезу да се настава филозофије (барем она конципирана на начин на који се предаје на курсевима Филозофског факултета у Нишу) не своди на скуп информација од интереса само за оне који планирају да се баве филозофијом, већ да заиста поседује знатно шири друштвени значај: да може утицати и мењати ставове грађана о битним темама од јавног значаја, какви су наука, религија, васпитање, морал, уметност итд.</w:t>
            </w:r>
          </w:p>
          <w:p w14:paraId="610CCD1D" w14:textId="0CFEEBD1" w:rsidR="00733A4C" w:rsidRPr="00733A4C" w:rsidRDefault="00733A4C" w:rsidP="00733A4C">
            <w:pPr>
              <w:jc w:val="both"/>
              <w:rPr>
                <w:sz w:val="20"/>
                <w:szCs w:val="20"/>
                <w:lang w:val="sr-Cyrl-RS"/>
              </w:rPr>
            </w:pPr>
            <w:r>
              <w:rPr>
                <w:sz w:val="20"/>
                <w:szCs w:val="20"/>
                <w:lang w:val="sr-Cyrl-RS"/>
              </w:rPr>
              <w:t xml:space="preserve">Будући да је узорак добијен једногодишњим истраживањем мали, циљ овогодишњег циклуса је пре свега увећање узорка и проверавање прошлогодишњих резултата на новодобијеном узорку. Такође, прошлогодишњи резултати ће бити прослеђени како средњошколским наставници има филозофије, тако и наставницима са других одељења за филозофију у земљи и региону. </w:t>
            </w:r>
            <w:r w:rsidR="00140017">
              <w:rPr>
                <w:sz w:val="20"/>
                <w:szCs w:val="20"/>
                <w:lang w:val="sr-Cyrl-RS"/>
              </w:rPr>
              <w:t xml:space="preserve">Планирамо организовање </w:t>
            </w:r>
            <w:r w:rsidR="00C22D8F">
              <w:rPr>
                <w:sz w:val="20"/>
                <w:szCs w:val="20"/>
                <w:lang w:val="sr-Cyrl-RS"/>
              </w:rPr>
              <w:t>округлих столова и трибина на којима ће се диск</w:t>
            </w:r>
            <w:r w:rsidR="00140017">
              <w:rPr>
                <w:sz w:val="20"/>
                <w:szCs w:val="20"/>
                <w:lang w:val="sr-Cyrl-RS"/>
              </w:rPr>
              <w:t xml:space="preserve">утовати о добијеним резултатима, како у стручним круговима, тако и у делу заинтересоване јавности. </w:t>
            </w:r>
          </w:p>
        </w:tc>
      </w:tr>
      <w:tr w:rsidR="00733A4C" w:rsidRPr="00835B9C" w14:paraId="266007B3" w14:textId="77777777" w:rsidTr="00835B9C">
        <w:tc>
          <w:tcPr>
            <w:tcW w:w="1838" w:type="dxa"/>
          </w:tcPr>
          <w:p w14:paraId="197F58C7" w14:textId="77777777" w:rsidR="00733A4C" w:rsidRPr="00835B9C" w:rsidRDefault="00733A4C" w:rsidP="00733A4C">
            <w:pPr>
              <w:jc w:val="both"/>
              <w:rPr>
                <w:rFonts w:ascii="Cambria" w:hAnsi="Cambria"/>
                <w:b/>
                <w:lang w:val="sr-Cyrl-RS"/>
              </w:rPr>
            </w:pPr>
            <w:r w:rsidRPr="00835B9C">
              <w:rPr>
                <w:rFonts w:ascii="Cambria" w:hAnsi="Cambria"/>
                <w:b/>
                <w:lang w:val="sr-Cyrl-RS"/>
              </w:rPr>
              <w:lastRenderedPageBreak/>
              <w:t>Циљ пројекта</w:t>
            </w:r>
          </w:p>
        </w:tc>
        <w:tc>
          <w:tcPr>
            <w:tcW w:w="8227" w:type="dxa"/>
          </w:tcPr>
          <w:p w14:paraId="1CDBBD6F" w14:textId="5EA0CA1F" w:rsidR="00C22D8F" w:rsidRPr="00416807" w:rsidRDefault="00C22D8F" w:rsidP="00C22D8F">
            <w:pPr>
              <w:jc w:val="both"/>
              <w:rPr>
                <w:sz w:val="20"/>
                <w:szCs w:val="20"/>
                <w:lang w:val="sr-Cyrl-RS"/>
              </w:rPr>
            </w:pPr>
            <w:r w:rsidRPr="00416807">
              <w:rPr>
                <w:sz w:val="20"/>
                <w:szCs w:val="20"/>
                <w:lang w:val="sr-Cyrl-RS"/>
              </w:rPr>
              <w:t xml:space="preserve">Пројект ће за циљ имати прикупљање </w:t>
            </w:r>
            <w:r w:rsidR="00840E53">
              <w:rPr>
                <w:sz w:val="20"/>
                <w:szCs w:val="20"/>
                <w:lang w:val="sr-Cyrl-RS"/>
              </w:rPr>
              <w:t xml:space="preserve">додатних </w:t>
            </w:r>
            <w:r w:rsidRPr="00416807">
              <w:rPr>
                <w:sz w:val="20"/>
                <w:szCs w:val="20"/>
                <w:lang w:val="sr-Cyrl-RS"/>
              </w:rPr>
              <w:t xml:space="preserve">емпиријских података о промени вредносних ставова студената (пре свега студената филозофије) пре и након слушања датих филозофских курсева. </w:t>
            </w:r>
          </w:p>
          <w:p w14:paraId="5F6AFC5B" w14:textId="290151FC" w:rsidR="00733A4C" w:rsidRPr="00835B9C" w:rsidRDefault="00840E53" w:rsidP="00C4000A">
            <w:pPr>
              <w:jc w:val="both"/>
              <w:rPr>
                <w:rFonts w:ascii="Cambria" w:hAnsi="Cambria"/>
                <w:lang w:val="sr-Cyrl-RS"/>
              </w:rPr>
            </w:pPr>
            <w:r>
              <w:rPr>
                <w:sz w:val="20"/>
                <w:szCs w:val="20"/>
                <w:lang w:val="sr-Cyrl-RS"/>
              </w:rPr>
              <w:t>Такође, већ</w:t>
            </w:r>
            <w:r w:rsidR="00C22D8F" w:rsidRPr="00416807">
              <w:rPr>
                <w:sz w:val="20"/>
                <w:szCs w:val="20"/>
                <w:lang w:val="sr-Cyrl-RS"/>
              </w:rPr>
              <w:t xml:space="preserve"> добијени резултати </w:t>
            </w:r>
            <w:r w:rsidR="009F2218">
              <w:rPr>
                <w:sz w:val="20"/>
                <w:szCs w:val="20"/>
                <w:lang w:val="sr-Cyrl-RS"/>
              </w:rPr>
              <w:t xml:space="preserve">ће бити коришћени </w:t>
            </w:r>
            <w:r w:rsidR="00C4000A">
              <w:rPr>
                <w:sz w:val="20"/>
                <w:szCs w:val="20"/>
                <w:lang w:val="sr-Cyrl-RS"/>
              </w:rPr>
              <w:t xml:space="preserve">у стручној и јавној расправи </w:t>
            </w:r>
            <w:r w:rsidR="00C22D8F" w:rsidRPr="00416807">
              <w:rPr>
                <w:sz w:val="20"/>
                <w:szCs w:val="20"/>
                <w:lang w:val="sr-Cyrl-RS"/>
              </w:rPr>
              <w:t>о месту филозофије у образовном систему.</w:t>
            </w:r>
          </w:p>
        </w:tc>
      </w:tr>
      <w:tr w:rsidR="00733A4C" w:rsidRPr="00835B9C" w14:paraId="76F0755F" w14:textId="77777777" w:rsidTr="00835B9C">
        <w:tc>
          <w:tcPr>
            <w:tcW w:w="1838" w:type="dxa"/>
          </w:tcPr>
          <w:p w14:paraId="4D14334C" w14:textId="77777777" w:rsidR="00733A4C" w:rsidRPr="00835B9C" w:rsidRDefault="00733A4C" w:rsidP="00733A4C">
            <w:pPr>
              <w:jc w:val="both"/>
              <w:rPr>
                <w:rFonts w:ascii="Cambria" w:hAnsi="Cambria"/>
                <w:b/>
                <w:lang w:val="sr-Cyrl-RS"/>
              </w:rPr>
            </w:pPr>
            <w:r w:rsidRPr="00835B9C">
              <w:rPr>
                <w:rFonts w:ascii="Cambria" w:hAnsi="Cambria"/>
                <w:b/>
                <w:lang w:val="sr-Cyrl-RS"/>
              </w:rPr>
              <w:t>Специфични циљеви</w:t>
            </w:r>
          </w:p>
        </w:tc>
        <w:tc>
          <w:tcPr>
            <w:tcW w:w="8227" w:type="dxa"/>
          </w:tcPr>
          <w:p w14:paraId="7754791D" w14:textId="61C0F614" w:rsidR="00140017" w:rsidRPr="00416807" w:rsidRDefault="00140017" w:rsidP="00140017">
            <w:pPr>
              <w:jc w:val="both"/>
              <w:rPr>
                <w:sz w:val="20"/>
                <w:szCs w:val="20"/>
                <w:lang w:val="sr-Cyrl-RS"/>
              </w:rPr>
            </w:pPr>
            <w:r w:rsidRPr="00416807">
              <w:rPr>
                <w:sz w:val="20"/>
                <w:szCs w:val="20"/>
                <w:lang w:val="sr-Cyrl-RS"/>
              </w:rPr>
              <w:t>Специфични циљеви у периоду новембар 201</w:t>
            </w:r>
            <w:r w:rsidR="00C4000A">
              <w:rPr>
                <w:sz w:val="20"/>
                <w:szCs w:val="20"/>
                <w:lang w:val="sr-Cyrl-RS"/>
              </w:rPr>
              <w:t>9</w:t>
            </w:r>
            <w:r w:rsidRPr="00416807">
              <w:rPr>
                <w:sz w:val="20"/>
                <w:szCs w:val="20"/>
                <w:lang w:val="sr-Cyrl-RS"/>
              </w:rPr>
              <w:t>.</w:t>
            </w:r>
          </w:p>
          <w:p w14:paraId="5A9E0CDA" w14:textId="16608D22" w:rsidR="00140017" w:rsidRPr="00416807" w:rsidRDefault="00140017" w:rsidP="00140017">
            <w:pPr>
              <w:jc w:val="both"/>
              <w:rPr>
                <w:sz w:val="20"/>
                <w:szCs w:val="20"/>
                <w:lang w:val="sr-Cyrl-RS"/>
              </w:rPr>
            </w:pPr>
            <w:r w:rsidRPr="00416807">
              <w:rPr>
                <w:sz w:val="20"/>
                <w:szCs w:val="20"/>
                <w:lang w:val="sr-Cyrl-RS"/>
              </w:rPr>
              <w:t xml:space="preserve">Спровођење </w:t>
            </w:r>
            <w:r w:rsidR="00C4000A" w:rsidRPr="00416807">
              <w:rPr>
                <w:sz w:val="20"/>
                <w:szCs w:val="20"/>
                <w:lang w:val="sr-Cyrl-RS"/>
              </w:rPr>
              <w:t>тестова којима ће се проверавати вредносни ставови студен</w:t>
            </w:r>
            <w:r w:rsidR="00C4000A">
              <w:rPr>
                <w:sz w:val="20"/>
                <w:szCs w:val="20"/>
                <w:lang w:val="sr-Cyrl-RS"/>
              </w:rPr>
              <w:t>ата</w:t>
            </w:r>
            <w:r w:rsidRPr="00416807">
              <w:rPr>
                <w:sz w:val="20"/>
                <w:szCs w:val="20"/>
                <w:lang w:val="sr-Cyrl-RS"/>
              </w:rPr>
              <w:t>. Рачунање резултата. Анализа и интерпретација резултата. Писање извештаја.</w:t>
            </w:r>
          </w:p>
          <w:p w14:paraId="07B5CC03" w14:textId="4F5E524B" w:rsidR="00140017" w:rsidRPr="00416807" w:rsidRDefault="00140017" w:rsidP="00140017">
            <w:pPr>
              <w:jc w:val="both"/>
              <w:rPr>
                <w:sz w:val="20"/>
                <w:szCs w:val="20"/>
                <w:lang w:val="sr-Cyrl-RS"/>
              </w:rPr>
            </w:pPr>
            <w:r w:rsidRPr="00416807">
              <w:rPr>
                <w:sz w:val="20"/>
                <w:szCs w:val="20"/>
                <w:lang w:val="sr-Cyrl-RS"/>
              </w:rPr>
              <w:t xml:space="preserve">Специфични циљеви у периоду </w:t>
            </w:r>
            <w:r w:rsidR="00F01165">
              <w:rPr>
                <w:sz w:val="20"/>
                <w:szCs w:val="20"/>
                <w:lang w:val="sr-Cyrl-RS"/>
              </w:rPr>
              <w:t>децембар</w:t>
            </w:r>
            <w:r w:rsidRPr="00416807">
              <w:rPr>
                <w:sz w:val="20"/>
                <w:szCs w:val="20"/>
                <w:lang w:val="sr-Cyrl-RS"/>
              </w:rPr>
              <w:t>-јун 2019.(у зависности од трајања курсева)</w:t>
            </w:r>
            <w:r w:rsidR="00F01165">
              <w:rPr>
                <w:sz w:val="20"/>
                <w:szCs w:val="20"/>
                <w:lang w:val="sr-Cyrl-RS"/>
              </w:rPr>
              <w:t xml:space="preserve">: </w:t>
            </w:r>
          </w:p>
          <w:p w14:paraId="64603A79" w14:textId="171605B7" w:rsidR="00140017" w:rsidRPr="00416807" w:rsidRDefault="00140017" w:rsidP="00140017">
            <w:pPr>
              <w:jc w:val="both"/>
              <w:rPr>
                <w:sz w:val="20"/>
                <w:szCs w:val="20"/>
                <w:lang w:val="sr-Cyrl-RS"/>
              </w:rPr>
            </w:pPr>
            <w:r w:rsidRPr="00416807">
              <w:rPr>
                <w:sz w:val="20"/>
                <w:szCs w:val="20"/>
                <w:lang w:val="sr-Cyrl-RS"/>
              </w:rPr>
              <w:t xml:space="preserve">Поновно спровођење теста. Рачунање резултата. Анализа и интерпретација резултата. </w:t>
            </w:r>
            <w:r w:rsidR="00F01165">
              <w:rPr>
                <w:sz w:val="20"/>
                <w:szCs w:val="20"/>
                <w:lang w:val="sr-Cyrl-RS"/>
              </w:rPr>
              <w:t xml:space="preserve">Организовање округлих столова и трибина поводом већ добијених резултата (на којима ће учествовати наставници филозофије из средњих школа и других </w:t>
            </w:r>
            <w:proofErr w:type="spellStart"/>
            <w:r w:rsidR="00F01165">
              <w:rPr>
                <w:sz w:val="20"/>
                <w:szCs w:val="20"/>
                <w:lang w:val="sr-Cyrl-RS"/>
              </w:rPr>
              <w:t>високообразовних</w:t>
            </w:r>
            <w:proofErr w:type="spellEnd"/>
            <w:r w:rsidR="00F01165">
              <w:rPr>
                <w:sz w:val="20"/>
                <w:szCs w:val="20"/>
                <w:lang w:val="sr-Cyrl-RS"/>
              </w:rPr>
              <w:t xml:space="preserve"> установа из земље и региона). </w:t>
            </w:r>
            <w:r w:rsidRPr="00416807">
              <w:rPr>
                <w:sz w:val="20"/>
                <w:szCs w:val="20"/>
                <w:lang w:val="sr-Cyrl-RS"/>
              </w:rPr>
              <w:t>Писање извештаја.</w:t>
            </w:r>
            <w:r w:rsidR="00F01165">
              <w:rPr>
                <w:sz w:val="20"/>
                <w:szCs w:val="20"/>
                <w:lang w:val="sr-Cyrl-RS"/>
              </w:rPr>
              <w:t xml:space="preserve"> </w:t>
            </w:r>
          </w:p>
          <w:p w14:paraId="28A0C43D" w14:textId="77777777" w:rsidR="00733A4C" w:rsidRPr="00835B9C" w:rsidRDefault="00733A4C" w:rsidP="00733A4C">
            <w:pPr>
              <w:jc w:val="both"/>
              <w:rPr>
                <w:rFonts w:ascii="Cambria" w:hAnsi="Cambria"/>
                <w:lang w:val="sr-Cyrl-RS"/>
              </w:rPr>
            </w:pPr>
          </w:p>
          <w:p w14:paraId="3A951381" w14:textId="77777777" w:rsidR="00733A4C" w:rsidRPr="00835B9C" w:rsidRDefault="00733A4C" w:rsidP="00733A4C">
            <w:pPr>
              <w:jc w:val="both"/>
              <w:rPr>
                <w:rFonts w:ascii="Cambria" w:hAnsi="Cambria"/>
                <w:lang w:val="sr-Cyrl-RS"/>
              </w:rPr>
            </w:pPr>
          </w:p>
          <w:p w14:paraId="041A1050" w14:textId="77777777" w:rsidR="00733A4C" w:rsidRPr="00835B9C" w:rsidRDefault="00733A4C" w:rsidP="00733A4C">
            <w:pPr>
              <w:jc w:val="both"/>
              <w:rPr>
                <w:rFonts w:ascii="Cambria" w:hAnsi="Cambria"/>
                <w:lang w:val="sr-Cyrl-RS"/>
              </w:rPr>
            </w:pPr>
          </w:p>
        </w:tc>
      </w:tr>
      <w:tr w:rsidR="005D2023" w:rsidRPr="00835B9C" w14:paraId="4D9F51C6" w14:textId="77777777" w:rsidTr="00835B9C">
        <w:tc>
          <w:tcPr>
            <w:tcW w:w="1838" w:type="dxa"/>
          </w:tcPr>
          <w:p w14:paraId="01D3B314" w14:textId="77777777" w:rsidR="005D2023" w:rsidRPr="00835B9C" w:rsidRDefault="005D2023" w:rsidP="005D2023">
            <w:pPr>
              <w:jc w:val="both"/>
              <w:rPr>
                <w:rFonts w:ascii="Cambria" w:hAnsi="Cambria"/>
                <w:b/>
                <w:lang w:val="sr-Cyrl-RS"/>
              </w:rPr>
            </w:pPr>
            <w:r w:rsidRPr="00835B9C">
              <w:rPr>
                <w:rFonts w:ascii="Cambria" w:hAnsi="Cambria"/>
                <w:b/>
                <w:lang w:val="sr-Cyrl-RS"/>
              </w:rPr>
              <w:t>Задаци</w:t>
            </w:r>
          </w:p>
        </w:tc>
        <w:tc>
          <w:tcPr>
            <w:tcW w:w="8227" w:type="dxa"/>
          </w:tcPr>
          <w:p w14:paraId="51418FA5" w14:textId="580D220C" w:rsidR="005D2023" w:rsidRDefault="005D2023" w:rsidP="005D2023">
            <w:pPr>
              <w:jc w:val="both"/>
              <w:rPr>
                <w:sz w:val="20"/>
                <w:szCs w:val="20"/>
                <w:lang w:val="sr-Cyrl-RS"/>
              </w:rPr>
            </w:pPr>
            <w:r w:rsidRPr="00416807">
              <w:rPr>
                <w:sz w:val="20"/>
                <w:szCs w:val="20"/>
                <w:lang w:val="sr-Cyrl-RS"/>
              </w:rPr>
              <w:t xml:space="preserve">Предложени пројект ће за сврху имати прикупљање, анализу и интерпретацију </w:t>
            </w:r>
            <w:r>
              <w:rPr>
                <w:sz w:val="20"/>
                <w:szCs w:val="20"/>
                <w:lang w:val="sr-Cyrl-RS"/>
              </w:rPr>
              <w:t xml:space="preserve">додатних </w:t>
            </w:r>
            <w:r w:rsidRPr="00416807">
              <w:rPr>
                <w:sz w:val="20"/>
                <w:szCs w:val="20"/>
                <w:lang w:val="sr-Cyrl-RS"/>
              </w:rPr>
              <w:t>емпиријских података везаних за тему пројекта</w:t>
            </w:r>
            <w:r>
              <w:rPr>
                <w:sz w:val="20"/>
                <w:szCs w:val="20"/>
                <w:lang w:val="sr-Cyrl-RS"/>
              </w:rPr>
              <w:t>.</w:t>
            </w:r>
            <w:r w:rsidRPr="00416807">
              <w:rPr>
                <w:sz w:val="20"/>
                <w:szCs w:val="20"/>
                <w:lang w:val="sr-Cyrl-RS"/>
              </w:rPr>
              <w:t xml:space="preserve"> </w:t>
            </w:r>
            <w:r>
              <w:rPr>
                <w:sz w:val="20"/>
                <w:szCs w:val="20"/>
                <w:lang w:val="sr-Cyrl-RS"/>
              </w:rPr>
              <w:t>И</w:t>
            </w:r>
            <w:r w:rsidRPr="00416807">
              <w:rPr>
                <w:sz w:val="20"/>
                <w:szCs w:val="20"/>
                <w:lang w:val="sr-Cyrl-RS"/>
              </w:rPr>
              <w:t>спитујући наведене ставове студената пре слушања филозофских курсева који се баве датом проблематиком и још једном, након тих одслушаних курсева, бележиће се евентуалне промене и процењивати утицај који су филозофски курсеви и</w:t>
            </w:r>
            <w:r>
              <w:rPr>
                <w:sz w:val="20"/>
                <w:szCs w:val="20"/>
                <w:lang w:val="sr-Cyrl-RS"/>
              </w:rPr>
              <w:t>звршили у настанку тих промена.</w:t>
            </w:r>
          </w:p>
          <w:p w14:paraId="0AE0175B" w14:textId="1C257574" w:rsidR="005D2023" w:rsidRPr="00416807" w:rsidRDefault="005D2023" w:rsidP="005D2023">
            <w:pPr>
              <w:jc w:val="both"/>
              <w:rPr>
                <w:sz w:val="20"/>
                <w:szCs w:val="20"/>
                <w:lang w:val="sr-Cyrl-RS"/>
              </w:rPr>
            </w:pPr>
            <w:r>
              <w:rPr>
                <w:sz w:val="20"/>
                <w:szCs w:val="20"/>
                <w:lang w:val="sr-Cyrl-RS"/>
              </w:rPr>
              <w:t xml:space="preserve">Организовањем трибина и округлих столова планирамо да </w:t>
            </w:r>
            <w:r w:rsidR="004D4A52">
              <w:rPr>
                <w:sz w:val="20"/>
                <w:szCs w:val="20"/>
                <w:lang w:val="sr-Cyrl-RS"/>
              </w:rPr>
              <w:t xml:space="preserve">проширимо интересовање за ову проблематику и </w:t>
            </w:r>
            <w:r w:rsidR="00C04FFC">
              <w:rPr>
                <w:sz w:val="20"/>
                <w:szCs w:val="20"/>
                <w:lang w:val="sr-Cyrl-RS"/>
              </w:rPr>
              <w:t>на основу добијених података иницирамо јавну и стручну расправу о месту филозофије у образовном систему.</w:t>
            </w:r>
          </w:p>
          <w:p w14:paraId="3F201A57" w14:textId="77777777" w:rsidR="005D2023" w:rsidRPr="00835B9C" w:rsidRDefault="005D2023" w:rsidP="005D2023">
            <w:pPr>
              <w:pStyle w:val="NormalWeb"/>
              <w:spacing w:beforeAutospacing="0" w:after="0" w:line="276" w:lineRule="auto"/>
              <w:jc w:val="both"/>
              <w:rPr>
                <w:rFonts w:ascii="Cambria" w:hAnsi="Cambria"/>
                <w:sz w:val="22"/>
                <w:szCs w:val="22"/>
                <w:lang w:val="sr-Cyrl-RS"/>
              </w:rPr>
            </w:pPr>
          </w:p>
        </w:tc>
      </w:tr>
      <w:tr w:rsidR="005D2023" w:rsidRPr="00835B9C" w14:paraId="5CEFF82D" w14:textId="77777777" w:rsidTr="00835B9C">
        <w:tc>
          <w:tcPr>
            <w:tcW w:w="1838" w:type="dxa"/>
          </w:tcPr>
          <w:p w14:paraId="7410EE6C" w14:textId="77777777" w:rsidR="005D2023" w:rsidRPr="00835B9C" w:rsidRDefault="005D2023" w:rsidP="005D2023">
            <w:pPr>
              <w:jc w:val="both"/>
              <w:rPr>
                <w:rFonts w:ascii="Cambria" w:hAnsi="Cambria"/>
                <w:b/>
                <w:lang w:val="sr-Cyrl-RS"/>
              </w:rPr>
            </w:pPr>
            <w:r w:rsidRPr="00835B9C">
              <w:rPr>
                <w:rFonts w:ascii="Cambria" w:hAnsi="Cambria"/>
                <w:b/>
                <w:lang w:val="sr-Cyrl-RS"/>
              </w:rPr>
              <w:lastRenderedPageBreak/>
              <w:t>Очекивани исходи / резултати</w:t>
            </w:r>
          </w:p>
        </w:tc>
        <w:tc>
          <w:tcPr>
            <w:tcW w:w="8227" w:type="dxa"/>
          </w:tcPr>
          <w:p w14:paraId="6315F8A0" w14:textId="18519E99" w:rsidR="005D2023" w:rsidRPr="00835B9C" w:rsidRDefault="005D2023" w:rsidP="005D2023">
            <w:pPr>
              <w:jc w:val="both"/>
              <w:rPr>
                <w:rFonts w:ascii="Cambria" w:hAnsi="Cambria"/>
                <w:lang w:val="sr-Cyrl-RS"/>
              </w:rPr>
            </w:pPr>
            <w:r>
              <w:rPr>
                <w:sz w:val="20"/>
                <w:szCs w:val="20"/>
                <w:lang w:val="sr-Cyrl-RS"/>
              </w:rPr>
              <w:t>Очекујемо да ће истраживање показати да курсеви из филозофије утичу на промене вредносних ставова студената. Анализа и интерпретација резултата ће показати на које начине тај утицај зависи од садржине курса и методичко-дидактичких пракси наставника. Даље очекујемо да ће</w:t>
            </w:r>
            <w:r>
              <w:rPr>
                <w:sz w:val="20"/>
                <w:szCs w:val="20"/>
                <w:lang w:val="sr-Cyrl-RS"/>
              </w:rPr>
              <w:t xml:space="preserve"> организовање трибина и округлих столова учинити да</w:t>
            </w:r>
            <w:r>
              <w:rPr>
                <w:sz w:val="20"/>
                <w:szCs w:val="20"/>
                <w:lang w:val="sr-Cyrl-RS"/>
              </w:rPr>
              <w:t xml:space="preserve"> се ово истраживање (ради повећања узорка) наставити, проширити на друге институције, те послужити као основа за </w:t>
            </w:r>
            <w:r>
              <w:rPr>
                <w:i/>
                <w:sz w:val="20"/>
                <w:szCs w:val="20"/>
              </w:rPr>
              <w:t>follow</w:t>
            </w:r>
            <w:r>
              <w:rPr>
                <w:i/>
                <w:sz w:val="20"/>
                <w:szCs w:val="20"/>
                <w:lang w:val="sr-Latn-RS"/>
              </w:rPr>
              <w:t>-</w:t>
            </w:r>
            <w:proofErr w:type="spellStart"/>
            <w:r>
              <w:rPr>
                <w:i/>
                <w:sz w:val="20"/>
                <w:szCs w:val="20"/>
                <w:lang w:val="sr-Latn-RS"/>
              </w:rPr>
              <w:t>up</w:t>
            </w:r>
            <w:proofErr w:type="spellEnd"/>
            <w:r>
              <w:rPr>
                <w:sz w:val="20"/>
                <w:szCs w:val="20"/>
                <w:lang w:val="sr-Cyrl-RS"/>
              </w:rPr>
              <w:t xml:space="preserve"> истраживања у погледу наставе филозофије на другим нивоима образовања.</w:t>
            </w:r>
          </w:p>
        </w:tc>
      </w:tr>
      <w:tr w:rsidR="00733A4C" w:rsidRPr="00835B9C" w14:paraId="743245A4" w14:textId="77777777" w:rsidTr="00835B9C">
        <w:tc>
          <w:tcPr>
            <w:tcW w:w="1838" w:type="dxa"/>
          </w:tcPr>
          <w:p w14:paraId="7D10BF52" w14:textId="77777777" w:rsidR="00733A4C" w:rsidRPr="00835B9C" w:rsidRDefault="00733A4C" w:rsidP="00733A4C">
            <w:pPr>
              <w:jc w:val="both"/>
              <w:rPr>
                <w:rFonts w:ascii="Cambria" w:hAnsi="Cambria"/>
                <w:b/>
                <w:lang w:val="sr-Cyrl-RS"/>
              </w:rPr>
            </w:pPr>
            <w:r w:rsidRPr="00835B9C">
              <w:rPr>
                <w:rFonts w:ascii="Cambria" w:hAnsi="Cambria"/>
                <w:b/>
                <w:lang w:val="sr-Cyrl-RS"/>
              </w:rPr>
              <w:t xml:space="preserve">Чланови пројектног тима </w:t>
            </w:r>
          </w:p>
        </w:tc>
        <w:tc>
          <w:tcPr>
            <w:tcW w:w="8227" w:type="dxa"/>
          </w:tcPr>
          <w:p w14:paraId="78831C8A" w14:textId="7A4924B2" w:rsidR="00733A4C" w:rsidRPr="00835B9C" w:rsidRDefault="00140017" w:rsidP="00733A4C">
            <w:pPr>
              <w:spacing w:line="360" w:lineRule="auto"/>
              <w:jc w:val="both"/>
              <w:rPr>
                <w:rFonts w:ascii="Cambria" w:hAnsi="Cambria"/>
                <w:lang w:val="sr-Cyrl-RS"/>
              </w:rPr>
            </w:pPr>
            <w:r>
              <w:rPr>
                <w:rFonts w:ascii="Cambria" w:hAnsi="Cambria"/>
                <w:sz w:val="18"/>
                <w:szCs w:val="18"/>
                <w:lang w:val="sr-Cyrl-RS"/>
              </w:rPr>
              <w:t>Сви запослени на департману за филозофију.</w:t>
            </w:r>
          </w:p>
          <w:p w14:paraId="450BE3E3" w14:textId="77777777" w:rsidR="00733A4C" w:rsidRPr="00835B9C" w:rsidRDefault="00733A4C" w:rsidP="00733A4C">
            <w:pPr>
              <w:spacing w:line="360" w:lineRule="auto"/>
              <w:jc w:val="both"/>
              <w:rPr>
                <w:rFonts w:ascii="Cambria" w:hAnsi="Cambria"/>
                <w:lang w:val="sr-Cyrl-RS"/>
              </w:rPr>
            </w:pPr>
          </w:p>
        </w:tc>
      </w:tr>
    </w:tbl>
    <w:p w14:paraId="47A69E09" w14:textId="77777777" w:rsidR="00060B52" w:rsidRPr="00835B9C" w:rsidRDefault="00060B52" w:rsidP="00060B52">
      <w:pPr>
        <w:jc w:val="both"/>
        <w:rPr>
          <w:rFonts w:ascii="Cambria" w:hAnsi="Cambria"/>
          <w:lang w:val="sr-Cyrl-RS"/>
        </w:rPr>
      </w:pPr>
    </w:p>
    <w:p w14:paraId="719C679D" w14:textId="2A3B49BD" w:rsidR="00060B52" w:rsidRPr="00835B9C" w:rsidRDefault="00060B52" w:rsidP="001C7C0D">
      <w:pPr>
        <w:rPr>
          <w:rFonts w:ascii="Cambria" w:hAnsi="Cambria"/>
          <w:b/>
          <w:lang w:val="sr-Cyrl-RS"/>
        </w:rPr>
      </w:pPr>
      <w:r w:rsidRPr="00835B9C">
        <w:rPr>
          <w:rFonts w:ascii="Cambria" w:hAnsi="Cambria"/>
          <w:lang w:val="sr-Cyrl-RS"/>
        </w:rPr>
        <w:br w:type="page"/>
      </w:r>
      <w:r w:rsidRPr="00835B9C">
        <w:rPr>
          <w:rFonts w:ascii="Cambria" w:hAnsi="Cambria"/>
          <w:b/>
          <w:lang w:val="sr-Cyrl-RS"/>
        </w:rPr>
        <w:lastRenderedPageBreak/>
        <w:t xml:space="preserve">Временски план реализације пројекта </w:t>
      </w:r>
      <w:r w:rsidRPr="00835B9C">
        <w:rPr>
          <w:rFonts w:ascii="Cambria" w:hAnsi="Cambria"/>
          <w:b/>
          <w:sz w:val="20"/>
          <w:szCs w:val="20"/>
          <w:lang w:val="sr-Cyrl-RS"/>
        </w:rPr>
        <w:t>(планирати конкретне кораке у реализацији пројекта по месецима, почев од 1. новембра 2019. до 30. јуна 2020. године)</w:t>
      </w:r>
      <w:r w:rsidRPr="00835B9C">
        <w:rPr>
          <w:rFonts w:ascii="Cambria" w:hAnsi="Cambria"/>
          <w:b/>
          <w:lang w:val="sr-Cyrl-RS"/>
        </w:rPr>
        <w:t>:</w:t>
      </w:r>
    </w:p>
    <w:tbl>
      <w:tblPr>
        <w:tblpPr w:leftFromText="180" w:rightFromText="180" w:vertAnchor="text" w:tblpX="-1281"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2835"/>
        <w:gridCol w:w="1350"/>
        <w:gridCol w:w="578"/>
        <w:gridCol w:w="577"/>
        <w:gridCol w:w="578"/>
        <w:gridCol w:w="577"/>
        <w:gridCol w:w="578"/>
        <w:gridCol w:w="577"/>
        <w:gridCol w:w="578"/>
        <w:gridCol w:w="551"/>
      </w:tblGrid>
      <w:tr w:rsidR="00060B52" w:rsidRPr="00835B9C" w14:paraId="43184791" w14:textId="77777777" w:rsidTr="00060B52">
        <w:tc>
          <w:tcPr>
            <w:tcW w:w="6237" w:type="dxa"/>
            <w:tcBorders>
              <w:bottom w:val="thinThickSmallGap" w:sz="24" w:space="0" w:color="00000A"/>
            </w:tcBorders>
            <w:shd w:val="clear" w:color="auto" w:fill="auto"/>
          </w:tcPr>
          <w:p w14:paraId="183FDDC9" w14:textId="77777777" w:rsidR="00060B52" w:rsidRPr="00835B9C" w:rsidRDefault="00060B52" w:rsidP="00060B52">
            <w:pPr>
              <w:spacing w:before="20" w:after="20"/>
              <w:rPr>
                <w:rFonts w:ascii="Cambria" w:hAnsi="Cambria"/>
                <w:lang w:val="sr-Cyrl-RS"/>
              </w:rPr>
            </w:pPr>
            <w:r w:rsidRPr="00835B9C">
              <w:rPr>
                <w:rFonts w:ascii="Cambria" w:hAnsi="Cambria"/>
                <w:b/>
                <w:lang w:val="sr-Cyrl-RS"/>
              </w:rPr>
              <w:t>Активност</w:t>
            </w:r>
          </w:p>
        </w:tc>
        <w:tc>
          <w:tcPr>
            <w:tcW w:w="2835" w:type="dxa"/>
            <w:tcBorders>
              <w:bottom w:val="thinThickSmallGap" w:sz="24" w:space="0" w:color="00000A"/>
            </w:tcBorders>
          </w:tcPr>
          <w:p w14:paraId="652C2349" w14:textId="77777777" w:rsidR="00060B52" w:rsidRPr="00835B9C" w:rsidRDefault="00060B52" w:rsidP="00060B52">
            <w:pPr>
              <w:spacing w:before="20" w:after="20"/>
              <w:rPr>
                <w:rFonts w:ascii="Cambria" w:hAnsi="Cambria"/>
                <w:b/>
                <w:lang w:val="sr-Cyrl-RS"/>
              </w:rPr>
            </w:pPr>
            <w:r w:rsidRPr="00835B9C">
              <w:rPr>
                <w:rFonts w:ascii="Cambria" w:hAnsi="Cambria"/>
                <w:b/>
                <w:lang w:val="sr-Cyrl-RS"/>
              </w:rPr>
              <w:t>Реализатори</w:t>
            </w:r>
          </w:p>
        </w:tc>
        <w:tc>
          <w:tcPr>
            <w:tcW w:w="1350" w:type="dxa"/>
            <w:tcBorders>
              <w:bottom w:val="thinThickSmallGap" w:sz="24" w:space="0" w:color="00000A"/>
            </w:tcBorders>
            <w:shd w:val="clear" w:color="auto" w:fill="auto"/>
          </w:tcPr>
          <w:p w14:paraId="69529B5B" w14:textId="77777777" w:rsidR="00060B52" w:rsidRPr="00835B9C" w:rsidRDefault="00060B52" w:rsidP="00060B52">
            <w:pPr>
              <w:spacing w:before="20" w:after="20"/>
              <w:rPr>
                <w:rFonts w:ascii="Cambria" w:hAnsi="Cambria"/>
                <w:b/>
                <w:lang w:val="sr-Cyrl-RS"/>
              </w:rPr>
            </w:pPr>
            <w:r w:rsidRPr="00835B9C">
              <w:rPr>
                <w:rFonts w:ascii="Cambria" w:hAnsi="Cambria"/>
                <w:b/>
                <w:lang w:val="sr-Cyrl-RS"/>
              </w:rPr>
              <w:t>Трајање у недељама</w:t>
            </w:r>
          </w:p>
        </w:tc>
        <w:tc>
          <w:tcPr>
            <w:tcW w:w="578" w:type="dxa"/>
            <w:tcBorders>
              <w:bottom w:val="thinThickSmallGap" w:sz="24" w:space="0" w:color="00000A"/>
            </w:tcBorders>
            <w:shd w:val="clear" w:color="auto" w:fill="auto"/>
          </w:tcPr>
          <w:p w14:paraId="211EEB38" w14:textId="77777777" w:rsidR="00060B52" w:rsidRPr="00835B9C" w:rsidRDefault="00060B52" w:rsidP="00060B52">
            <w:pPr>
              <w:spacing w:before="20" w:after="20"/>
              <w:rPr>
                <w:rFonts w:ascii="Cambria" w:hAnsi="Cambria"/>
                <w:b/>
                <w:sz w:val="18"/>
                <w:szCs w:val="18"/>
                <w:lang w:val="sr-Cyrl-RS"/>
              </w:rPr>
            </w:pPr>
            <w:r w:rsidRPr="00835B9C">
              <w:rPr>
                <w:rFonts w:ascii="Cambria" w:hAnsi="Cambria"/>
                <w:b/>
                <w:sz w:val="18"/>
                <w:szCs w:val="18"/>
                <w:lang w:val="sr-Cyrl-RS"/>
              </w:rPr>
              <w:t>XI</w:t>
            </w:r>
          </w:p>
        </w:tc>
        <w:tc>
          <w:tcPr>
            <w:tcW w:w="577" w:type="dxa"/>
            <w:tcBorders>
              <w:bottom w:val="thinThickSmallGap" w:sz="24" w:space="0" w:color="00000A"/>
            </w:tcBorders>
            <w:shd w:val="clear" w:color="auto" w:fill="auto"/>
          </w:tcPr>
          <w:p w14:paraId="3A32922B" w14:textId="77777777" w:rsidR="00060B52" w:rsidRPr="00835B9C" w:rsidRDefault="00060B52" w:rsidP="00060B52">
            <w:pPr>
              <w:spacing w:before="20" w:after="20"/>
              <w:rPr>
                <w:rFonts w:ascii="Cambria" w:hAnsi="Cambria"/>
                <w:b/>
                <w:sz w:val="18"/>
                <w:szCs w:val="18"/>
                <w:lang w:val="sr-Cyrl-RS"/>
              </w:rPr>
            </w:pPr>
            <w:r w:rsidRPr="00835B9C">
              <w:rPr>
                <w:rFonts w:ascii="Cambria" w:hAnsi="Cambria"/>
                <w:b/>
                <w:sz w:val="18"/>
                <w:szCs w:val="18"/>
                <w:lang w:val="sr-Cyrl-RS"/>
              </w:rPr>
              <w:t>XII</w:t>
            </w:r>
          </w:p>
        </w:tc>
        <w:tc>
          <w:tcPr>
            <w:tcW w:w="578" w:type="dxa"/>
            <w:tcBorders>
              <w:bottom w:val="thinThickSmallGap" w:sz="24" w:space="0" w:color="00000A"/>
            </w:tcBorders>
            <w:shd w:val="clear" w:color="auto" w:fill="auto"/>
          </w:tcPr>
          <w:p w14:paraId="411E58C2" w14:textId="77777777" w:rsidR="00060B52" w:rsidRPr="00835B9C" w:rsidRDefault="00060B52" w:rsidP="00060B52">
            <w:pPr>
              <w:spacing w:before="20" w:after="20"/>
              <w:rPr>
                <w:rFonts w:ascii="Cambria" w:hAnsi="Cambria"/>
                <w:b/>
                <w:sz w:val="18"/>
                <w:szCs w:val="18"/>
                <w:lang w:val="sr-Cyrl-RS"/>
              </w:rPr>
            </w:pPr>
            <w:r w:rsidRPr="00835B9C">
              <w:rPr>
                <w:rFonts w:ascii="Cambria" w:hAnsi="Cambria"/>
                <w:b/>
                <w:sz w:val="18"/>
                <w:szCs w:val="18"/>
                <w:lang w:val="sr-Cyrl-RS"/>
              </w:rPr>
              <w:t>I</w:t>
            </w:r>
          </w:p>
        </w:tc>
        <w:tc>
          <w:tcPr>
            <w:tcW w:w="577" w:type="dxa"/>
            <w:tcBorders>
              <w:bottom w:val="thinThickSmallGap" w:sz="24" w:space="0" w:color="00000A"/>
            </w:tcBorders>
            <w:shd w:val="clear" w:color="auto" w:fill="auto"/>
          </w:tcPr>
          <w:p w14:paraId="443FDBD9" w14:textId="77777777" w:rsidR="00060B52" w:rsidRPr="00835B9C" w:rsidRDefault="00060B52" w:rsidP="00060B52">
            <w:pPr>
              <w:spacing w:before="20" w:after="20"/>
              <w:rPr>
                <w:rFonts w:ascii="Cambria" w:hAnsi="Cambria"/>
                <w:b/>
                <w:sz w:val="18"/>
                <w:szCs w:val="18"/>
                <w:lang w:val="sr-Cyrl-RS"/>
              </w:rPr>
            </w:pPr>
            <w:r w:rsidRPr="00835B9C">
              <w:rPr>
                <w:rFonts w:ascii="Cambria" w:hAnsi="Cambria"/>
                <w:b/>
                <w:sz w:val="18"/>
                <w:szCs w:val="18"/>
                <w:lang w:val="sr-Cyrl-RS"/>
              </w:rPr>
              <w:t>II</w:t>
            </w:r>
          </w:p>
        </w:tc>
        <w:tc>
          <w:tcPr>
            <w:tcW w:w="578" w:type="dxa"/>
            <w:tcBorders>
              <w:bottom w:val="thinThickSmallGap" w:sz="24" w:space="0" w:color="00000A"/>
            </w:tcBorders>
            <w:shd w:val="clear" w:color="auto" w:fill="auto"/>
          </w:tcPr>
          <w:p w14:paraId="60E1F7B6" w14:textId="77777777" w:rsidR="00060B52" w:rsidRPr="00835B9C" w:rsidRDefault="00060B52" w:rsidP="00060B52">
            <w:pPr>
              <w:spacing w:before="20" w:after="20"/>
              <w:rPr>
                <w:rFonts w:ascii="Cambria" w:hAnsi="Cambria"/>
                <w:b/>
                <w:sz w:val="18"/>
                <w:szCs w:val="18"/>
                <w:lang w:val="sr-Cyrl-RS"/>
              </w:rPr>
            </w:pPr>
            <w:r w:rsidRPr="00835B9C">
              <w:rPr>
                <w:rFonts w:ascii="Cambria" w:hAnsi="Cambria"/>
                <w:b/>
                <w:sz w:val="18"/>
                <w:szCs w:val="18"/>
                <w:lang w:val="sr-Cyrl-RS"/>
              </w:rPr>
              <w:t>III</w:t>
            </w:r>
          </w:p>
        </w:tc>
        <w:tc>
          <w:tcPr>
            <w:tcW w:w="577" w:type="dxa"/>
            <w:tcBorders>
              <w:bottom w:val="thinThickSmallGap" w:sz="24" w:space="0" w:color="00000A"/>
            </w:tcBorders>
            <w:shd w:val="clear" w:color="auto" w:fill="auto"/>
          </w:tcPr>
          <w:p w14:paraId="57E8DFD3" w14:textId="77777777" w:rsidR="00060B52" w:rsidRPr="00835B9C" w:rsidRDefault="00060B52" w:rsidP="00060B52">
            <w:pPr>
              <w:spacing w:before="20" w:after="20"/>
              <w:rPr>
                <w:rFonts w:ascii="Cambria" w:hAnsi="Cambria"/>
                <w:b/>
                <w:sz w:val="18"/>
                <w:szCs w:val="18"/>
                <w:lang w:val="sr-Cyrl-RS"/>
              </w:rPr>
            </w:pPr>
            <w:r w:rsidRPr="00835B9C">
              <w:rPr>
                <w:rFonts w:ascii="Cambria" w:hAnsi="Cambria"/>
                <w:b/>
                <w:sz w:val="18"/>
                <w:szCs w:val="18"/>
                <w:lang w:val="sr-Cyrl-RS"/>
              </w:rPr>
              <w:t>IV</w:t>
            </w:r>
          </w:p>
        </w:tc>
        <w:tc>
          <w:tcPr>
            <w:tcW w:w="578" w:type="dxa"/>
            <w:tcBorders>
              <w:bottom w:val="thinThickSmallGap" w:sz="24" w:space="0" w:color="00000A"/>
            </w:tcBorders>
            <w:shd w:val="clear" w:color="auto" w:fill="auto"/>
          </w:tcPr>
          <w:p w14:paraId="1BDF9246" w14:textId="77777777" w:rsidR="00060B52" w:rsidRPr="00835B9C" w:rsidRDefault="00060B52" w:rsidP="00060B52">
            <w:pPr>
              <w:spacing w:before="20" w:after="20"/>
              <w:rPr>
                <w:rFonts w:ascii="Cambria" w:hAnsi="Cambria"/>
                <w:b/>
                <w:sz w:val="18"/>
                <w:szCs w:val="18"/>
                <w:lang w:val="sr-Cyrl-RS"/>
              </w:rPr>
            </w:pPr>
            <w:r w:rsidRPr="00835B9C">
              <w:rPr>
                <w:rFonts w:ascii="Cambria" w:hAnsi="Cambria"/>
                <w:b/>
                <w:sz w:val="18"/>
                <w:szCs w:val="18"/>
                <w:lang w:val="sr-Cyrl-RS"/>
              </w:rPr>
              <w:t>V</w:t>
            </w:r>
          </w:p>
        </w:tc>
        <w:tc>
          <w:tcPr>
            <w:tcW w:w="551" w:type="dxa"/>
            <w:tcBorders>
              <w:bottom w:val="thinThickSmallGap" w:sz="24" w:space="0" w:color="00000A"/>
            </w:tcBorders>
            <w:shd w:val="clear" w:color="auto" w:fill="auto"/>
          </w:tcPr>
          <w:p w14:paraId="6AFB3B21" w14:textId="77777777" w:rsidR="00060B52" w:rsidRPr="00835B9C" w:rsidRDefault="00060B52" w:rsidP="00060B52">
            <w:pPr>
              <w:spacing w:before="20" w:after="20"/>
              <w:rPr>
                <w:rFonts w:ascii="Cambria" w:hAnsi="Cambria"/>
                <w:b/>
                <w:sz w:val="18"/>
                <w:szCs w:val="18"/>
                <w:lang w:val="sr-Cyrl-RS"/>
              </w:rPr>
            </w:pPr>
            <w:r w:rsidRPr="00835B9C">
              <w:rPr>
                <w:rFonts w:ascii="Cambria" w:hAnsi="Cambria"/>
                <w:b/>
                <w:sz w:val="18"/>
                <w:szCs w:val="18"/>
                <w:lang w:val="sr-Cyrl-RS"/>
              </w:rPr>
              <w:t>VI</w:t>
            </w:r>
          </w:p>
        </w:tc>
      </w:tr>
      <w:tr w:rsidR="001C7C0D" w:rsidRPr="00835B9C" w14:paraId="732384DC" w14:textId="77777777" w:rsidTr="00060B52">
        <w:tc>
          <w:tcPr>
            <w:tcW w:w="6237" w:type="dxa"/>
            <w:tcBorders>
              <w:top w:val="thinThickSmallGap" w:sz="24" w:space="0" w:color="00000A"/>
            </w:tcBorders>
            <w:shd w:val="clear" w:color="auto" w:fill="auto"/>
          </w:tcPr>
          <w:p w14:paraId="157E52C8" w14:textId="3B000F84" w:rsidR="001C7C0D" w:rsidRPr="00835B9C" w:rsidRDefault="001C7C0D" w:rsidP="001C7C0D">
            <w:pPr>
              <w:spacing w:before="20" w:after="20"/>
              <w:rPr>
                <w:rFonts w:ascii="Cambria" w:hAnsi="Cambria"/>
                <w:b/>
                <w:lang w:val="sr-Cyrl-RS"/>
              </w:rPr>
            </w:pPr>
            <w:r w:rsidRPr="00541F77">
              <w:rPr>
                <w:lang w:val="sr-Cyrl-RS"/>
              </w:rPr>
              <w:t>Спровођење теста</w:t>
            </w:r>
          </w:p>
        </w:tc>
        <w:tc>
          <w:tcPr>
            <w:tcW w:w="2835" w:type="dxa"/>
            <w:tcBorders>
              <w:top w:val="thinThickSmallGap" w:sz="24" w:space="0" w:color="00000A"/>
            </w:tcBorders>
          </w:tcPr>
          <w:p w14:paraId="2A3A729D" w14:textId="598F6982" w:rsidR="001C7C0D" w:rsidRPr="00835B9C" w:rsidRDefault="001C7C0D" w:rsidP="001C7C0D">
            <w:pPr>
              <w:spacing w:before="20" w:after="20"/>
              <w:rPr>
                <w:rFonts w:ascii="Cambria" w:hAnsi="Cambria"/>
                <w:lang w:val="sr-Cyrl-RS"/>
              </w:rPr>
            </w:pPr>
            <w:r w:rsidRPr="002A795F">
              <w:rPr>
                <w:sz w:val="20"/>
                <w:szCs w:val="20"/>
                <w:lang w:val="sr-Cyrl-RS"/>
              </w:rPr>
              <w:t>Сви запослени на департману за филозофију, у складу са курсевима које држе</w:t>
            </w:r>
          </w:p>
        </w:tc>
        <w:tc>
          <w:tcPr>
            <w:tcW w:w="1350" w:type="dxa"/>
            <w:tcBorders>
              <w:top w:val="thinThickSmallGap" w:sz="24" w:space="0" w:color="00000A"/>
            </w:tcBorders>
            <w:shd w:val="clear" w:color="auto" w:fill="auto"/>
          </w:tcPr>
          <w:p w14:paraId="1F4BAE1B" w14:textId="565A0E55" w:rsidR="001C7C0D" w:rsidRPr="00835B9C" w:rsidRDefault="001C7C0D" w:rsidP="001C7C0D">
            <w:pPr>
              <w:spacing w:before="20" w:after="20"/>
              <w:rPr>
                <w:rFonts w:ascii="Cambria" w:hAnsi="Cambria"/>
                <w:lang w:val="sr-Cyrl-RS"/>
              </w:rPr>
            </w:pPr>
          </w:p>
        </w:tc>
        <w:tc>
          <w:tcPr>
            <w:tcW w:w="578" w:type="dxa"/>
            <w:tcBorders>
              <w:top w:val="thinThickSmallGap" w:sz="24" w:space="0" w:color="00000A"/>
            </w:tcBorders>
            <w:shd w:val="clear" w:color="auto" w:fill="auto"/>
          </w:tcPr>
          <w:p w14:paraId="3562F6B5" w14:textId="265D3C61" w:rsidR="001C7C0D" w:rsidRPr="00835B9C" w:rsidRDefault="001C7C0D" w:rsidP="001C7C0D">
            <w:pPr>
              <w:spacing w:before="20" w:after="20"/>
              <w:rPr>
                <w:rFonts w:ascii="Cambria" w:hAnsi="Cambria"/>
                <w:lang w:val="sr-Cyrl-RS"/>
              </w:rPr>
            </w:pPr>
            <w:r>
              <w:rPr>
                <w:rFonts w:ascii="Cambria" w:hAnsi="Cambria"/>
                <w:lang w:val="sr-Cyrl-RS"/>
              </w:rPr>
              <w:t>х</w:t>
            </w:r>
          </w:p>
        </w:tc>
        <w:tc>
          <w:tcPr>
            <w:tcW w:w="577" w:type="dxa"/>
            <w:tcBorders>
              <w:top w:val="thinThickSmallGap" w:sz="24" w:space="0" w:color="00000A"/>
            </w:tcBorders>
            <w:shd w:val="clear" w:color="auto" w:fill="auto"/>
          </w:tcPr>
          <w:p w14:paraId="309F60BC" w14:textId="77777777" w:rsidR="001C7C0D" w:rsidRPr="00835B9C" w:rsidRDefault="001C7C0D" w:rsidP="001C7C0D">
            <w:pPr>
              <w:spacing w:before="20" w:after="20"/>
              <w:rPr>
                <w:rFonts w:ascii="Cambria" w:hAnsi="Cambria"/>
                <w:lang w:val="sr-Cyrl-RS"/>
              </w:rPr>
            </w:pPr>
          </w:p>
        </w:tc>
        <w:tc>
          <w:tcPr>
            <w:tcW w:w="578" w:type="dxa"/>
            <w:tcBorders>
              <w:top w:val="thinThickSmallGap" w:sz="24" w:space="0" w:color="00000A"/>
            </w:tcBorders>
            <w:shd w:val="clear" w:color="auto" w:fill="auto"/>
          </w:tcPr>
          <w:p w14:paraId="6D4EE41C" w14:textId="77777777" w:rsidR="001C7C0D" w:rsidRPr="00835B9C" w:rsidRDefault="001C7C0D" w:rsidP="001C7C0D">
            <w:pPr>
              <w:spacing w:before="20" w:after="20"/>
              <w:rPr>
                <w:rFonts w:ascii="Cambria" w:hAnsi="Cambria"/>
                <w:lang w:val="sr-Cyrl-RS"/>
              </w:rPr>
            </w:pPr>
          </w:p>
        </w:tc>
        <w:tc>
          <w:tcPr>
            <w:tcW w:w="577" w:type="dxa"/>
            <w:tcBorders>
              <w:top w:val="thinThickSmallGap" w:sz="24" w:space="0" w:color="00000A"/>
            </w:tcBorders>
            <w:shd w:val="clear" w:color="auto" w:fill="auto"/>
          </w:tcPr>
          <w:p w14:paraId="069201E2" w14:textId="77777777" w:rsidR="001C7C0D" w:rsidRPr="00835B9C" w:rsidRDefault="001C7C0D" w:rsidP="001C7C0D">
            <w:pPr>
              <w:spacing w:before="20" w:after="20"/>
              <w:rPr>
                <w:rFonts w:ascii="Cambria" w:hAnsi="Cambria"/>
                <w:lang w:val="sr-Cyrl-RS"/>
              </w:rPr>
            </w:pPr>
          </w:p>
        </w:tc>
        <w:tc>
          <w:tcPr>
            <w:tcW w:w="578" w:type="dxa"/>
            <w:tcBorders>
              <w:top w:val="thinThickSmallGap" w:sz="24" w:space="0" w:color="00000A"/>
            </w:tcBorders>
            <w:shd w:val="clear" w:color="auto" w:fill="auto"/>
          </w:tcPr>
          <w:p w14:paraId="2A5EEA62" w14:textId="77777777" w:rsidR="001C7C0D" w:rsidRPr="00835B9C" w:rsidRDefault="001C7C0D" w:rsidP="001C7C0D">
            <w:pPr>
              <w:spacing w:before="20" w:after="20"/>
              <w:rPr>
                <w:rFonts w:ascii="Cambria" w:hAnsi="Cambria"/>
                <w:lang w:val="sr-Cyrl-RS"/>
              </w:rPr>
            </w:pPr>
          </w:p>
        </w:tc>
        <w:tc>
          <w:tcPr>
            <w:tcW w:w="577" w:type="dxa"/>
            <w:tcBorders>
              <w:top w:val="thinThickSmallGap" w:sz="24" w:space="0" w:color="00000A"/>
            </w:tcBorders>
            <w:shd w:val="clear" w:color="auto" w:fill="auto"/>
          </w:tcPr>
          <w:p w14:paraId="16527CAF" w14:textId="77777777" w:rsidR="001C7C0D" w:rsidRPr="00835B9C" w:rsidRDefault="001C7C0D" w:rsidP="001C7C0D">
            <w:pPr>
              <w:spacing w:before="20" w:after="20"/>
              <w:rPr>
                <w:rFonts w:ascii="Cambria" w:hAnsi="Cambria"/>
                <w:lang w:val="sr-Cyrl-RS"/>
              </w:rPr>
            </w:pPr>
          </w:p>
        </w:tc>
        <w:tc>
          <w:tcPr>
            <w:tcW w:w="578" w:type="dxa"/>
            <w:tcBorders>
              <w:top w:val="thinThickSmallGap" w:sz="24" w:space="0" w:color="00000A"/>
            </w:tcBorders>
            <w:shd w:val="clear" w:color="auto" w:fill="auto"/>
          </w:tcPr>
          <w:p w14:paraId="7585F932" w14:textId="77777777" w:rsidR="001C7C0D" w:rsidRPr="00835B9C" w:rsidRDefault="001C7C0D" w:rsidP="001C7C0D">
            <w:pPr>
              <w:spacing w:before="20" w:after="20"/>
              <w:rPr>
                <w:rFonts w:ascii="Cambria" w:hAnsi="Cambria"/>
                <w:lang w:val="sr-Cyrl-RS"/>
              </w:rPr>
            </w:pPr>
          </w:p>
        </w:tc>
        <w:tc>
          <w:tcPr>
            <w:tcW w:w="551" w:type="dxa"/>
            <w:tcBorders>
              <w:top w:val="thinThickSmallGap" w:sz="24" w:space="0" w:color="00000A"/>
            </w:tcBorders>
            <w:shd w:val="clear" w:color="auto" w:fill="auto"/>
          </w:tcPr>
          <w:p w14:paraId="2FB5F923" w14:textId="77777777" w:rsidR="001C7C0D" w:rsidRPr="00835B9C" w:rsidRDefault="001C7C0D" w:rsidP="001C7C0D">
            <w:pPr>
              <w:spacing w:before="20" w:after="20"/>
              <w:rPr>
                <w:rFonts w:ascii="Cambria" w:hAnsi="Cambria"/>
                <w:lang w:val="sr-Cyrl-RS"/>
              </w:rPr>
            </w:pPr>
          </w:p>
        </w:tc>
      </w:tr>
      <w:tr w:rsidR="001C7C0D" w:rsidRPr="00835B9C" w14:paraId="4664B6FC" w14:textId="77777777" w:rsidTr="00060B52">
        <w:tc>
          <w:tcPr>
            <w:tcW w:w="6237" w:type="dxa"/>
            <w:shd w:val="clear" w:color="auto" w:fill="auto"/>
          </w:tcPr>
          <w:p w14:paraId="34ACE143" w14:textId="6DCF8527" w:rsidR="001C7C0D" w:rsidRPr="00835B9C" w:rsidRDefault="001C7C0D" w:rsidP="001C7C0D">
            <w:pPr>
              <w:spacing w:before="20" w:after="20"/>
              <w:rPr>
                <w:rFonts w:ascii="Cambria" w:hAnsi="Cambria"/>
                <w:lang w:val="sr-Cyrl-RS"/>
              </w:rPr>
            </w:pPr>
            <w:r w:rsidRPr="00541F77">
              <w:rPr>
                <w:lang w:val="sr-Cyrl-RS"/>
              </w:rPr>
              <w:t>Рачунање резултата</w:t>
            </w:r>
          </w:p>
        </w:tc>
        <w:tc>
          <w:tcPr>
            <w:tcW w:w="2835" w:type="dxa"/>
          </w:tcPr>
          <w:p w14:paraId="674A8C32" w14:textId="4D341CB5" w:rsidR="001C7C0D" w:rsidRPr="00835B9C" w:rsidRDefault="001C7C0D" w:rsidP="001C7C0D">
            <w:pPr>
              <w:spacing w:before="20" w:after="20"/>
              <w:rPr>
                <w:rFonts w:ascii="Cambria" w:hAnsi="Cambria"/>
                <w:lang w:val="sr-Cyrl-RS"/>
              </w:rPr>
            </w:pPr>
            <w:r w:rsidRPr="002A795F">
              <w:rPr>
                <w:sz w:val="20"/>
                <w:szCs w:val="20"/>
                <w:lang w:val="sr-Cyrl-RS"/>
              </w:rPr>
              <w:t>Сви запослени на департману за филозофију, у складу са курсевима које држе</w:t>
            </w:r>
          </w:p>
        </w:tc>
        <w:tc>
          <w:tcPr>
            <w:tcW w:w="1350" w:type="dxa"/>
            <w:shd w:val="clear" w:color="auto" w:fill="auto"/>
          </w:tcPr>
          <w:p w14:paraId="31F15798" w14:textId="545E55BD" w:rsidR="001C7C0D" w:rsidRPr="00835B9C" w:rsidRDefault="001C7C0D" w:rsidP="001C7C0D">
            <w:pPr>
              <w:spacing w:before="20" w:after="20"/>
              <w:rPr>
                <w:rFonts w:ascii="Cambria" w:hAnsi="Cambria"/>
                <w:lang w:val="sr-Cyrl-RS"/>
              </w:rPr>
            </w:pPr>
          </w:p>
        </w:tc>
        <w:tc>
          <w:tcPr>
            <w:tcW w:w="578" w:type="dxa"/>
            <w:shd w:val="clear" w:color="auto" w:fill="auto"/>
          </w:tcPr>
          <w:p w14:paraId="12BA3E9C"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0E0098BA" w14:textId="79D76D83" w:rsidR="001C7C0D" w:rsidRPr="00835B9C" w:rsidRDefault="001C7C0D" w:rsidP="001C7C0D">
            <w:pPr>
              <w:spacing w:before="20" w:after="20"/>
              <w:rPr>
                <w:rFonts w:ascii="Cambria" w:hAnsi="Cambria"/>
                <w:lang w:val="sr-Cyrl-RS"/>
              </w:rPr>
            </w:pPr>
            <w:r>
              <w:rPr>
                <w:rFonts w:ascii="Cambria" w:hAnsi="Cambria"/>
                <w:lang w:val="sr-Cyrl-RS"/>
              </w:rPr>
              <w:t>х</w:t>
            </w:r>
          </w:p>
        </w:tc>
        <w:tc>
          <w:tcPr>
            <w:tcW w:w="578" w:type="dxa"/>
            <w:shd w:val="clear" w:color="auto" w:fill="auto"/>
          </w:tcPr>
          <w:p w14:paraId="47EFD7EF"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573BC6C9"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2B45FA7E"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36A775B6"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15B9AF6"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4254B306" w14:textId="77777777" w:rsidR="001C7C0D" w:rsidRPr="00835B9C" w:rsidRDefault="001C7C0D" w:rsidP="001C7C0D">
            <w:pPr>
              <w:spacing w:before="20" w:after="20"/>
              <w:rPr>
                <w:rFonts w:ascii="Cambria" w:hAnsi="Cambria"/>
                <w:lang w:val="sr-Cyrl-RS"/>
              </w:rPr>
            </w:pPr>
          </w:p>
        </w:tc>
      </w:tr>
      <w:tr w:rsidR="001C7C0D" w:rsidRPr="00835B9C" w14:paraId="0D071619" w14:textId="77777777" w:rsidTr="00060B52">
        <w:trPr>
          <w:trHeight w:val="265"/>
        </w:trPr>
        <w:tc>
          <w:tcPr>
            <w:tcW w:w="6237" w:type="dxa"/>
            <w:shd w:val="clear" w:color="auto" w:fill="auto"/>
          </w:tcPr>
          <w:p w14:paraId="20CCB82B" w14:textId="633E2930" w:rsidR="001C7C0D" w:rsidRPr="00835B9C" w:rsidRDefault="001C7C0D" w:rsidP="001C7C0D">
            <w:pPr>
              <w:spacing w:before="20" w:after="20"/>
              <w:rPr>
                <w:rFonts w:ascii="Cambria" w:hAnsi="Cambria"/>
                <w:color w:val="000000"/>
                <w:lang w:val="sr-Cyrl-RS"/>
              </w:rPr>
            </w:pPr>
            <w:r w:rsidRPr="00541F77">
              <w:rPr>
                <w:lang w:val="sr-Cyrl-RS"/>
              </w:rPr>
              <w:t>Анализа и интерпретација резултата</w:t>
            </w:r>
          </w:p>
        </w:tc>
        <w:tc>
          <w:tcPr>
            <w:tcW w:w="2835" w:type="dxa"/>
          </w:tcPr>
          <w:p w14:paraId="68C1FC32" w14:textId="62BF03AE" w:rsidR="001C7C0D" w:rsidRPr="00835B9C" w:rsidRDefault="001C7C0D" w:rsidP="001C7C0D">
            <w:pPr>
              <w:spacing w:before="20" w:after="20"/>
              <w:rPr>
                <w:rFonts w:ascii="Cambria" w:hAnsi="Cambria"/>
                <w:lang w:val="sr-Cyrl-RS"/>
              </w:rPr>
            </w:pPr>
            <w:r w:rsidRPr="002A795F">
              <w:rPr>
                <w:sz w:val="20"/>
                <w:szCs w:val="20"/>
                <w:lang w:val="sr-Cyrl-RS"/>
              </w:rPr>
              <w:t>Сви запослени на департману за филозофију, у складу са курсевима које држе</w:t>
            </w:r>
          </w:p>
        </w:tc>
        <w:tc>
          <w:tcPr>
            <w:tcW w:w="1350" w:type="dxa"/>
            <w:shd w:val="clear" w:color="auto" w:fill="auto"/>
          </w:tcPr>
          <w:p w14:paraId="74F4FB4E" w14:textId="08829287" w:rsidR="001C7C0D" w:rsidRPr="00835B9C" w:rsidRDefault="001C7C0D" w:rsidP="001C7C0D">
            <w:pPr>
              <w:rPr>
                <w:rFonts w:ascii="Cambria" w:hAnsi="Cambria"/>
                <w:lang w:val="sr-Cyrl-RS"/>
              </w:rPr>
            </w:pPr>
          </w:p>
        </w:tc>
        <w:tc>
          <w:tcPr>
            <w:tcW w:w="578" w:type="dxa"/>
            <w:shd w:val="clear" w:color="auto" w:fill="auto"/>
          </w:tcPr>
          <w:p w14:paraId="7559C3D0"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0FB9F2BC"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6BA1C6A0" w14:textId="6375FE95" w:rsidR="001C7C0D" w:rsidRPr="00835B9C" w:rsidRDefault="001C7C0D" w:rsidP="001C7C0D">
            <w:pPr>
              <w:spacing w:before="20" w:after="20"/>
              <w:rPr>
                <w:rFonts w:ascii="Cambria" w:hAnsi="Cambria"/>
                <w:lang w:val="sr-Cyrl-RS"/>
              </w:rPr>
            </w:pPr>
            <w:r>
              <w:rPr>
                <w:rFonts w:ascii="Cambria" w:hAnsi="Cambria"/>
                <w:lang w:val="sr-Cyrl-RS"/>
              </w:rPr>
              <w:t>х</w:t>
            </w:r>
          </w:p>
        </w:tc>
        <w:tc>
          <w:tcPr>
            <w:tcW w:w="577" w:type="dxa"/>
            <w:shd w:val="clear" w:color="auto" w:fill="auto"/>
          </w:tcPr>
          <w:p w14:paraId="384DC809"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1AFFC7EE"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61A5B3F3"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2CF55DDA"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5C1E2F3D" w14:textId="77777777" w:rsidR="001C7C0D" w:rsidRPr="00835B9C" w:rsidRDefault="001C7C0D" w:rsidP="001C7C0D">
            <w:pPr>
              <w:spacing w:before="20" w:after="20"/>
              <w:rPr>
                <w:rFonts w:ascii="Cambria" w:hAnsi="Cambria"/>
                <w:lang w:val="sr-Cyrl-RS"/>
              </w:rPr>
            </w:pPr>
          </w:p>
        </w:tc>
      </w:tr>
      <w:tr w:rsidR="001C7C0D" w:rsidRPr="00835B9C" w14:paraId="6E91CFD3" w14:textId="77777777" w:rsidTr="00060B52">
        <w:tc>
          <w:tcPr>
            <w:tcW w:w="6237" w:type="dxa"/>
            <w:shd w:val="clear" w:color="auto" w:fill="auto"/>
          </w:tcPr>
          <w:p w14:paraId="63E775E0" w14:textId="54FD23F8" w:rsidR="001C7C0D" w:rsidRPr="00835B9C" w:rsidRDefault="001C7C0D" w:rsidP="001C7C0D">
            <w:pPr>
              <w:spacing w:before="20" w:after="20"/>
              <w:rPr>
                <w:rFonts w:ascii="Cambria" w:hAnsi="Cambria"/>
                <w:bCs/>
                <w:lang w:val="sr-Cyrl-RS"/>
              </w:rPr>
            </w:pPr>
            <w:r w:rsidRPr="00541F77">
              <w:rPr>
                <w:lang w:val="sr-Cyrl-RS"/>
              </w:rPr>
              <w:t>Писање извештаја</w:t>
            </w:r>
          </w:p>
        </w:tc>
        <w:tc>
          <w:tcPr>
            <w:tcW w:w="2835" w:type="dxa"/>
          </w:tcPr>
          <w:p w14:paraId="41A20670" w14:textId="0E59C14E" w:rsidR="001C7C0D" w:rsidRPr="00835B9C" w:rsidRDefault="001C7C0D" w:rsidP="001C7C0D">
            <w:pPr>
              <w:spacing w:before="20" w:after="20"/>
              <w:rPr>
                <w:rFonts w:ascii="Cambria" w:hAnsi="Cambria"/>
                <w:lang w:val="sr-Cyrl-RS"/>
              </w:rPr>
            </w:pPr>
            <w:r w:rsidRPr="002A795F">
              <w:rPr>
                <w:sz w:val="20"/>
                <w:szCs w:val="20"/>
                <w:lang w:val="sr-Cyrl-RS"/>
              </w:rPr>
              <w:t>Слађана Ристић-</w:t>
            </w:r>
            <w:proofErr w:type="spellStart"/>
            <w:r w:rsidRPr="002A795F">
              <w:rPr>
                <w:sz w:val="20"/>
                <w:szCs w:val="20"/>
                <w:lang w:val="sr-Cyrl-RS"/>
              </w:rPr>
              <w:t>Горгиев</w:t>
            </w:r>
            <w:proofErr w:type="spellEnd"/>
            <w:r w:rsidRPr="002A795F">
              <w:rPr>
                <w:sz w:val="20"/>
                <w:szCs w:val="20"/>
                <w:lang w:val="sr-Cyrl-RS"/>
              </w:rPr>
              <w:t>, Бојан Благојевић</w:t>
            </w:r>
          </w:p>
        </w:tc>
        <w:tc>
          <w:tcPr>
            <w:tcW w:w="1350" w:type="dxa"/>
            <w:shd w:val="clear" w:color="auto" w:fill="auto"/>
          </w:tcPr>
          <w:p w14:paraId="7FDDDE62" w14:textId="3D7D6085" w:rsidR="001C7C0D" w:rsidRPr="00835B9C" w:rsidRDefault="001C7C0D" w:rsidP="001C7C0D">
            <w:pPr>
              <w:spacing w:before="20" w:after="20"/>
              <w:rPr>
                <w:rFonts w:ascii="Cambria" w:hAnsi="Cambria"/>
                <w:lang w:val="sr-Cyrl-RS"/>
              </w:rPr>
            </w:pPr>
          </w:p>
        </w:tc>
        <w:tc>
          <w:tcPr>
            <w:tcW w:w="578" w:type="dxa"/>
            <w:shd w:val="clear" w:color="auto" w:fill="auto"/>
          </w:tcPr>
          <w:p w14:paraId="7DA964C9"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668C77B7"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35D99BB2" w14:textId="05399AB9" w:rsidR="001C7C0D" w:rsidRPr="00835B9C" w:rsidRDefault="001C7C0D" w:rsidP="001C7C0D">
            <w:pPr>
              <w:spacing w:before="20" w:after="20"/>
              <w:rPr>
                <w:rFonts w:ascii="Cambria" w:hAnsi="Cambria"/>
                <w:lang w:val="sr-Cyrl-RS"/>
              </w:rPr>
            </w:pPr>
            <w:r>
              <w:rPr>
                <w:rFonts w:ascii="Cambria" w:hAnsi="Cambria"/>
                <w:lang w:val="sr-Cyrl-RS"/>
              </w:rPr>
              <w:t>х</w:t>
            </w:r>
          </w:p>
        </w:tc>
        <w:tc>
          <w:tcPr>
            <w:tcW w:w="577" w:type="dxa"/>
            <w:shd w:val="clear" w:color="auto" w:fill="auto"/>
          </w:tcPr>
          <w:p w14:paraId="7836CAEF"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691439C5"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47F919A6"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3A59E267"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254F4EE1" w14:textId="77777777" w:rsidR="001C7C0D" w:rsidRPr="00835B9C" w:rsidRDefault="001C7C0D" w:rsidP="001C7C0D">
            <w:pPr>
              <w:spacing w:before="20" w:after="20"/>
              <w:rPr>
                <w:rFonts w:ascii="Cambria" w:hAnsi="Cambria"/>
                <w:lang w:val="sr-Cyrl-RS"/>
              </w:rPr>
            </w:pPr>
          </w:p>
        </w:tc>
      </w:tr>
      <w:tr w:rsidR="001C7C0D" w:rsidRPr="00835B9C" w14:paraId="56724D78" w14:textId="77777777" w:rsidTr="00060B52">
        <w:tc>
          <w:tcPr>
            <w:tcW w:w="6237" w:type="dxa"/>
            <w:shd w:val="clear" w:color="auto" w:fill="auto"/>
          </w:tcPr>
          <w:p w14:paraId="6ADEB36E" w14:textId="24598981" w:rsidR="001C7C0D" w:rsidRPr="00835B9C" w:rsidRDefault="001C7C0D" w:rsidP="001C7C0D">
            <w:pPr>
              <w:spacing w:before="20" w:after="20"/>
              <w:rPr>
                <w:rFonts w:ascii="Cambria" w:hAnsi="Cambria"/>
                <w:lang w:val="sr-Cyrl-RS"/>
              </w:rPr>
            </w:pPr>
            <w:r>
              <w:rPr>
                <w:lang w:val="sr-Cyrl-RS"/>
              </w:rPr>
              <w:t>Поновно спровођење теста након одслушаних курсева</w:t>
            </w:r>
          </w:p>
        </w:tc>
        <w:tc>
          <w:tcPr>
            <w:tcW w:w="2835" w:type="dxa"/>
          </w:tcPr>
          <w:p w14:paraId="7C9684CF" w14:textId="19FCEE3C" w:rsidR="001C7C0D" w:rsidRPr="00835B9C" w:rsidRDefault="001C7C0D" w:rsidP="001C7C0D">
            <w:pPr>
              <w:spacing w:before="20" w:after="20"/>
              <w:rPr>
                <w:rFonts w:ascii="Cambria" w:hAnsi="Cambria"/>
                <w:lang w:val="sr-Cyrl-RS"/>
              </w:rPr>
            </w:pPr>
            <w:r w:rsidRPr="002A795F">
              <w:rPr>
                <w:sz w:val="20"/>
                <w:szCs w:val="20"/>
                <w:lang w:val="sr-Cyrl-RS"/>
              </w:rPr>
              <w:t>Сви запослени на департману за филозофију, у складу са курсевима које држе</w:t>
            </w:r>
          </w:p>
        </w:tc>
        <w:tc>
          <w:tcPr>
            <w:tcW w:w="1350" w:type="dxa"/>
            <w:shd w:val="clear" w:color="auto" w:fill="auto"/>
          </w:tcPr>
          <w:p w14:paraId="3571F129" w14:textId="73E18B66" w:rsidR="001C7C0D" w:rsidRPr="00835B9C" w:rsidRDefault="001C7C0D" w:rsidP="001C7C0D">
            <w:pPr>
              <w:spacing w:before="20" w:after="20"/>
              <w:rPr>
                <w:rFonts w:ascii="Cambria" w:hAnsi="Cambria"/>
                <w:lang w:val="sr-Cyrl-RS"/>
              </w:rPr>
            </w:pPr>
          </w:p>
        </w:tc>
        <w:tc>
          <w:tcPr>
            <w:tcW w:w="578" w:type="dxa"/>
            <w:shd w:val="clear" w:color="auto" w:fill="auto"/>
          </w:tcPr>
          <w:p w14:paraId="6F3D8463"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260CC9A5"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3A08633"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50492266"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20B99506"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0A96C539"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518DE78"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361B755D" w14:textId="622CDF2E" w:rsidR="001C7C0D" w:rsidRPr="00835B9C" w:rsidRDefault="001C7C0D" w:rsidP="001C7C0D">
            <w:pPr>
              <w:spacing w:before="20" w:after="20"/>
              <w:rPr>
                <w:rFonts w:ascii="Cambria" w:hAnsi="Cambria"/>
                <w:lang w:val="sr-Cyrl-RS"/>
              </w:rPr>
            </w:pPr>
            <w:r>
              <w:rPr>
                <w:rFonts w:ascii="Cambria" w:hAnsi="Cambria"/>
                <w:lang w:val="sr-Cyrl-RS"/>
              </w:rPr>
              <w:t>х</w:t>
            </w:r>
          </w:p>
        </w:tc>
      </w:tr>
      <w:tr w:rsidR="001C7C0D" w:rsidRPr="00835B9C" w14:paraId="3F738DC1" w14:textId="77777777" w:rsidTr="00060B52">
        <w:tc>
          <w:tcPr>
            <w:tcW w:w="6237" w:type="dxa"/>
            <w:shd w:val="clear" w:color="auto" w:fill="auto"/>
          </w:tcPr>
          <w:p w14:paraId="7A12E8E1" w14:textId="174C3B82" w:rsidR="001C7C0D" w:rsidRPr="00835B9C" w:rsidRDefault="001C7C0D" w:rsidP="001C7C0D">
            <w:pPr>
              <w:spacing w:before="20" w:after="20"/>
              <w:rPr>
                <w:rFonts w:ascii="Cambria" w:hAnsi="Cambria"/>
                <w:color w:val="FF0000"/>
                <w:lang w:val="sr-Cyrl-RS"/>
              </w:rPr>
            </w:pPr>
            <w:r w:rsidRPr="00541F77">
              <w:rPr>
                <w:lang w:val="sr-Cyrl-RS"/>
              </w:rPr>
              <w:t>Рачунање резултата</w:t>
            </w:r>
          </w:p>
        </w:tc>
        <w:tc>
          <w:tcPr>
            <w:tcW w:w="2835" w:type="dxa"/>
          </w:tcPr>
          <w:p w14:paraId="427CFC58" w14:textId="6293972F" w:rsidR="001C7C0D" w:rsidRPr="00835B9C" w:rsidRDefault="001C7C0D" w:rsidP="001C7C0D">
            <w:pPr>
              <w:spacing w:before="20" w:after="20"/>
              <w:rPr>
                <w:rFonts w:ascii="Cambria" w:hAnsi="Cambria"/>
                <w:lang w:val="sr-Cyrl-RS"/>
              </w:rPr>
            </w:pPr>
            <w:r w:rsidRPr="002A795F">
              <w:rPr>
                <w:sz w:val="20"/>
                <w:szCs w:val="20"/>
                <w:lang w:val="sr-Cyrl-RS"/>
              </w:rPr>
              <w:t>Сви запослени на департману за филозофију, у складу са курсевима које држе</w:t>
            </w:r>
          </w:p>
        </w:tc>
        <w:tc>
          <w:tcPr>
            <w:tcW w:w="1350" w:type="dxa"/>
            <w:shd w:val="clear" w:color="auto" w:fill="auto"/>
          </w:tcPr>
          <w:p w14:paraId="4FE99881" w14:textId="586B5990" w:rsidR="001C7C0D" w:rsidRPr="00835B9C" w:rsidRDefault="001C7C0D" w:rsidP="001C7C0D">
            <w:pPr>
              <w:spacing w:before="20" w:after="20"/>
              <w:rPr>
                <w:rFonts w:ascii="Cambria" w:hAnsi="Cambria"/>
                <w:lang w:val="sr-Cyrl-RS"/>
              </w:rPr>
            </w:pPr>
          </w:p>
        </w:tc>
        <w:tc>
          <w:tcPr>
            <w:tcW w:w="578" w:type="dxa"/>
            <w:shd w:val="clear" w:color="auto" w:fill="auto"/>
          </w:tcPr>
          <w:p w14:paraId="4F8C7337"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5A2CE377"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071F27F2"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514C2EFA"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72B31245"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5AD0DF05"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1A08A9B2"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5962D433" w14:textId="7930FACA" w:rsidR="001C7C0D" w:rsidRPr="00835B9C" w:rsidRDefault="001C7C0D" w:rsidP="001C7C0D">
            <w:pPr>
              <w:spacing w:before="20" w:after="20"/>
              <w:rPr>
                <w:rFonts w:ascii="Cambria" w:hAnsi="Cambria"/>
                <w:lang w:val="sr-Cyrl-RS"/>
              </w:rPr>
            </w:pPr>
            <w:r>
              <w:rPr>
                <w:rFonts w:ascii="Cambria" w:hAnsi="Cambria"/>
                <w:lang w:val="sr-Cyrl-RS"/>
              </w:rPr>
              <w:t>х</w:t>
            </w:r>
          </w:p>
        </w:tc>
      </w:tr>
      <w:tr w:rsidR="001C7C0D" w:rsidRPr="00835B9C" w14:paraId="2B65CE91" w14:textId="77777777" w:rsidTr="00060B52">
        <w:tc>
          <w:tcPr>
            <w:tcW w:w="6237" w:type="dxa"/>
            <w:shd w:val="clear" w:color="auto" w:fill="auto"/>
          </w:tcPr>
          <w:p w14:paraId="4F120E2A" w14:textId="531BBF50" w:rsidR="001C7C0D" w:rsidRPr="00835B9C" w:rsidRDefault="001C7C0D" w:rsidP="001C7C0D">
            <w:pPr>
              <w:spacing w:before="20" w:after="20"/>
              <w:rPr>
                <w:rFonts w:ascii="Cambria" w:hAnsi="Cambria"/>
                <w:lang w:val="sr-Cyrl-RS"/>
              </w:rPr>
            </w:pPr>
            <w:r w:rsidRPr="00541F77">
              <w:rPr>
                <w:lang w:val="sr-Cyrl-RS"/>
              </w:rPr>
              <w:t>Анализа и интерпретација резултата</w:t>
            </w:r>
          </w:p>
        </w:tc>
        <w:tc>
          <w:tcPr>
            <w:tcW w:w="2835" w:type="dxa"/>
          </w:tcPr>
          <w:p w14:paraId="02B62E10" w14:textId="6A8746B6" w:rsidR="001C7C0D" w:rsidRPr="00835B9C" w:rsidRDefault="001C7C0D" w:rsidP="001C7C0D">
            <w:pPr>
              <w:spacing w:before="20" w:after="20"/>
              <w:rPr>
                <w:rFonts w:ascii="Cambria" w:hAnsi="Cambria"/>
                <w:lang w:val="sr-Cyrl-RS"/>
              </w:rPr>
            </w:pPr>
            <w:r w:rsidRPr="002A795F">
              <w:rPr>
                <w:sz w:val="20"/>
                <w:szCs w:val="20"/>
                <w:lang w:val="sr-Cyrl-RS"/>
              </w:rPr>
              <w:t>Сви запослени на департману за филозофију, у складу са курсевима које држе</w:t>
            </w:r>
          </w:p>
        </w:tc>
        <w:tc>
          <w:tcPr>
            <w:tcW w:w="1350" w:type="dxa"/>
            <w:shd w:val="clear" w:color="auto" w:fill="auto"/>
          </w:tcPr>
          <w:p w14:paraId="2211D642" w14:textId="0B057F30" w:rsidR="001C7C0D" w:rsidRPr="00835B9C" w:rsidRDefault="001C7C0D" w:rsidP="001C7C0D">
            <w:pPr>
              <w:spacing w:before="20" w:after="20"/>
              <w:rPr>
                <w:rFonts w:ascii="Cambria" w:hAnsi="Cambria"/>
                <w:lang w:val="sr-Cyrl-RS"/>
              </w:rPr>
            </w:pPr>
          </w:p>
        </w:tc>
        <w:tc>
          <w:tcPr>
            <w:tcW w:w="578" w:type="dxa"/>
            <w:shd w:val="clear" w:color="auto" w:fill="auto"/>
          </w:tcPr>
          <w:p w14:paraId="21556F88"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65A47ECF"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72A1B332"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406489DD"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6C09B122"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4ADD5AFD"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28F87CA5"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5FD28C86" w14:textId="35293513" w:rsidR="001C7C0D" w:rsidRPr="00835B9C" w:rsidRDefault="001C7C0D" w:rsidP="001C7C0D">
            <w:pPr>
              <w:spacing w:before="20" w:after="20"/>
              <w:rPr>
                <w:rFonts w:ascii="Cambria" w:hAnsi="Cambria"/>
                <w:lang w:val="sr-Cyrl-RS"/>
              </w:rPr>
            </w:pPr>
            <w:r>
              <w:rPr>
                <w:rFonts w:ascii="Cambria" w:hAnsi="Cambria"/>
                <w:lang w:val="sr-Cyrl-RS"/>
              </w:rPr>
              <w:t>х</w:t>
            </w:r>
          </w:p>
        </w:tc>
      </w:tr>
      <w:tr w:rsidR="001C7C0D" w:rsidRPr="00835B9C" w14:paraId="03A0A42B" w14:textId="77777777" w:rsidTr="00060B52">
        <w:tc>
          <w:tcPr>
            <w:tcW w:w="6237" w:type="dxa"/>
            <w:shd w:val="clear" w:color="auto" w:fill="auto"/>
          </w:tcPr>
          <w:p w14:paraId="7BB25B00" w14:textId="62B0AE79" w:rsidR="001C7C0D" w:rsidRPr="00835B9C" w:rsidRDefault="001C7C0D" w:rsidP="001C7C0D">
            <w:pPr>
              <w:spacing w:before="20" w:after="20"/>
              <w:rPr>
                <w:rFonts w:ascii="Cambria" w:hAnsi="Cambria"/>
                <w:lang w:val="sr-Cyrl-RS"/>
              </w:rPr>
            </w:pPr>
            <w:r w:rsidRPr="00541F77">
              <w:rPr>
                <w:lang w:val="sr-Cyrl-RS"/>
              </w:rPr>
              <w:t>Писање извештаја</w:t>
            </w:r>
          </w:p>
        </w:tc>
        <w:tc>
          <w:tcPr>
            <w:tcW w:w="2835" w:type="dxa"/>
          </w:tcPr>
          <w:p w14:paraId="045A1666" w14:textId="2F22498D" w:rsidR="001C7C0D" w:rsidRPr="00835B9C" w:rsidRDefault="001C7C0D" w:rsidP="001C7C0D">
            <w:pPr>
              <w:spacing w:before="20" w:after="20"/>
              <w:rPr>
                <w:rFonts w:ascii="Cambria" w:hAnsi="Cambria"/>
                <w:lang w:val="sr-Cyrl-RS"/>
              </w:rPr>
            </w:pPr>
            <w:r w:rsidRPr="002A795F">
              <w:rPr>
                <w:sz w:val="20"/>
                <w:szCs w:val="20"/>
                <w:lang w:val="sr-Cyrl-RS"/>
              </w:rPr>
              <w:t>Слађана Ристић-</w:t>
            </w:r>
            <w:proofErr w:type="spellStart"/>
            <w:r w:rsidRPr="002A795F">
              <w:rPr>
                <w:sz w:val="20"/>
                <w:szCs w:val="20"/>
                <w:lang w:val="sr-Cyrl-RS"/>
              </w:rPr>
              <w:t>Горгиев</w:t>
            </w:r>
            <w:proofErr w:type="spellEnd"/>
            <w:r w:rsidRPr="002A795F">
              <w:rPr>
                <w:sz w:val="20"/>
                <w:szCs w:val="20"/>
                <w:lang w:val="sr-Cyrl-RS"/>
              </w:rPr>
              <w:t>, Бојан Благојевић</w:t>
            </w:r>
          </w:p>
        </w:tc>
        <w:tc>
          <w:tcPr>
            <w:tcW w:w="1350" w:type="dxa"/>
            <w:shd w:val="clear" w:color="auto" w:fill="auto"/>
          </w:tcPr>
          <w:p w14:paraId="0F1A033A" w14:textId="1F6C3E58" w:rsidR="001C7C0D" w:rsidRPr="00835B9C" w:rsidRDefault="001C7C0D" w:rsidP="001C7C0D">
            <w:pPr>
              <w:spacing w:before="20" w:after="20"/>
              <w:rPr>
                <w:rFonts w:ascii="Cambria" w:hAnsi="Cambria"/>
                <w:lang w:val="sr-Cyrl-RS"/>
              </w:rPr>
            </w:pPr>
          </w:p>
        </w:tc>
        <w:tc>
          <w:tcPr>
            <w:tcW w:w="578" w:type="dxa"/>
            <w:shd w:val="clear" w:color="auto" w:fill="auto"/>
          </w:tcPr>
          <w:p w14:paraId="73FA7613"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6A90A4F8"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4A15B7DA"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3E3B0667"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79717FF2"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124661A6"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311CE52A"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3C903727" w14:textId="444FA63A" w:rsidR="001C7C0D" w:rsidRPr="00835B9C" w:rsidRDefault="001C7C0D" w:rsidP="001C7C0D">
            <w:pPr>
              <w:spacing w:before="20" w:after="20"/>
              <w:rPr>
                <w:rFonts w:ascii="Cambria" w:hAnsi="Cambria"/>
                <w:lang w:val="sr-Cyrl-RS"/>
              </w:rPr>
            </w:pPr>
            <w:r>
              <w:rPr>
                <w:rFonts w:ascii="Cambria" w:hAnsi="Cambria"/>
                <w:lang w:val="sr-Cyrl-RS"/>
              </w:rPr>
              <w:t>х</w:t>
            </w:r>
          </w:p>
        </w:tc>
      </w:tr>
      <w:tr w:rsidR="001C7C0D" w:rsidRPr="00835B9C" w14:paraId="53ADEABE" w14:textId="77777777" w:rsidTr="00060B52">
        <w:tc>
          <w:tcPr>
            <w:tcW w:w="6237" w:type="dxa"/>
            <w:shd w:val="clear" w:color="auto" w:fill="auto"/>
          </w:tcPr>
          <w:p w14:paraId="44C6C6A9" w14:textId="68881552" w:rsidR="001C7C0D" w:rsidRPr="001C7C0D" w:rsidRDefault="004E2D64" w:rsidP="001C7C0D">
            <w:pPr>
              <w:spacing w:before="20" w:after="20"/>
              <w:rPr>
                <w:rFonts w:cstheme="minorHAnsi"/>
                <w:lang w:val="sr-Cyrl-RS"/>
              </w:rPr>
            </w:pPr>
            <w:r>
              <w:rPr>
                <w:rFonts w:cstheme="minorHAnsi"/>
                <w:lang w:val="sr-Cyrl-RS"/>
              </w:rPr>
              <w:lastRenderedPageBreak/>
              <w:t>Достављање претходних и нових резултата наставницима филозофије из земље и региона</w:t>
            </w:r>
          </w:p>
        </w:tc>
        <w:tc>
          <w:tcPr>
            <w:tcW w:w="2835" w:type="dxa"/>
          </w:tcPr>
          <w:p w14:paraId="18C00E59" w14:textId="77777777" w:rsidR="001C7C0D" w:rsidRPr="00835B9C" w:rsidRDefault="001C7C0D" w:rsidP="001C7C0D">
            <w:pPr>
              <w:spacing w:before="20" w:after="20"/>
              <w:rPr>
                <w:rFonts w:ascii="Cambria" w:hAnsi="Cambria"/>
                <w:lang w:val="sr-Cyrl-RS"/>
              </w:rPr>
            </w:pPr>
          </w:p>
        </w:tc>
        <w:tc>
          <w:tcPr>
            <w:tcW w:w="1350" w:type="dxa"/>
            <w:shd w:val="clear" w:color="auto" w:fill="auto"/>
          </w:tcPr>
          <w:p w14:paraId="1AF334B7" w14:textId="4291B11E" w:rsidR="001C7C0D" w:rsidRPr="00835B9C" w:rsidRDefault="001C7C0D" w:rsidP="001C7C0D">
            <w:pPr>
              <w:spacing w:before="20" w:after="20"/>
              <w:rPr>
                <w:rFonts w:ascii="Cambria" w:hAnsi="Cambria"/>
                <w:lang w:val="sr-Cyrl-RS"/>
              </w:rPr>
            </w:pPr>
          </w:p>
        </w:tc>
        <w:tc>
          <w:tcPr>
            <w:tcW w:w="578" w:type="dxa"/>
            <w:shd w:val="clear" w:color="auto" w:fill="auto"/>
          </w:tcPr>
          <w:p w14:paraId="7F3A15C9" w14:textId="4E22C2A5" w:rsidR="001C7C0D" w:rsidRPr="00835B9C" w:rsidRDefault="004E2D64" w:rsidP="001C7C0D">
            <w:pPr>
              <w:spacing w:before="20" w:after="20"/>
              <w:rPr>
                <w:rFonts w:ascii="Cambria" w:hAnsi="Cambria"/>
                <w:lang w:val="sr-Cyrl-RS"/>
              </w:rPr>
            </w:pPr>
            <w:r>
              <w:rPr>
                <w:rFonts w:ascii="Cambria" w:hAnsi="Cambria"/>
                <w:lang w:val="sr-Cyrl-RS"/>
              </w:rPr>
              <w:t>х</w:t>
            </w:r>
          </w:p>
        </w:tc>
        <w:tc>
          <w:tcPr>
            <w:tcW w:w="577" w:type="dxa"/>
            <w:shd w:val="clear" w:color="auto" w:fill="auto"/>
          </w:tcPr>
          <w:p w14:paraId="7262C0E5"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18EFB37"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754847B7"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70F43668"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63D82898"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769A2FF3"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142E6A3A" w14:textId="0E294532" w:rsidR="001C7C0D" w:rsidRPr="00835B9C" w:rsidRDefault="004E2D64" w:rsidP="001C7C0D">
            <w:pPr>
              <w:spacing w:before="20" w:after="20"/>
              <w:rPr>
                <w:rFonts w:ascii="Cambria" w:hAnsi="Cambria"/>
                <w:lang w:val="sr-Cyrl-RS"/>
              </w:rPr>
            </w:pPr>
            <w:r>
              <w:rPr>
                <w:rFonts w:ascii="Cambria" w:hAnsi="Cambria"/>
                <w:lang w:val="sr-Cyrl-RS"/>
              </w:rPr>
              <w:t>х</w:t>
            </w:r>
          </w:p>
        </w:tc>
      </w:tr>
      <w:tr w:rsidR="001C7C0D" w:rsidRPr="00835B9C" w14:paraId="0B0E12D6" w14:textId="77777777" w:rsidTr="00060B52">
        <w:tc>
          <w:tcPr>
            <w:tcW w:w="6237" w:type="dxa"/>
            <w:shd w:val="clear" w:color="auto" w:fill="auto"/>
          </w:tcPr>
          <w:p w14:paraId="5213534A" w14:textId="4A94681A" w:rsidR="001C7C0D" w:rsidRPr="00835B9C" w:rsidRDefault="004E2D64" w:rsidP="00D00B28">
            <w:pPr>
              <w:spacing w:before="20" w:after="20"/>
              <w:rPr>
                <w:rFonts w:ascii="Cambria" w:hAnsi="Cambria"/>
                <w:lang w:val="sr-Cyrl-RS"/>
              </w:rPr>
            </w:pPr>
            <w:r>
              <w:rPr>
                <w:rFonts w:ascii="Cambria" w:hAnsi="Cambria"/>
                <w:lang w:val="sr-Cyrl-RS"/>
              </w:rPr>
              <w:t>Организовање и одржавање округлог стола</w:t>
            </w:r>
            <w:r w:rsidR="00D00B28">
              <w:rPr>
                <w:rFonts w:ascii="Cambria" w:hAnsi="Cambria"/>
                <w:lang w:val="sr-Cyrl-RS"/>
              </w:rPr>
              <w:t>/трибине</w:t>
            </w:r>
            <w:r>
              <w:rPr>
                <w:rFonts w:ascii="Cambria" w:hAnsi="Cambria"/>
                <w:lang w:val="sr-Cyrl-RS"/>
              </w:rPr>
              <w:t xml:space="preserve"> о резултатима</w:t>
            </w:r>
          </w:p>
        </w:tc>
        <w:tc>
          <w:tcPr>
            <w:tcW w:w="2835" w:type="dxa"/>
          </w:tcPr>
          <w:p w14:paraId="4A6F16AC" w14:textId="77777777" w:rsidR="001C7C0D" w:rsidRPr="00835B9C" w:rsidRDefault="001C7C0D" w:rsidP="001C7C0D">
            <w:pPr>
              <w:spacing w:before="20" w:after="20"/>
              <w:rPr>
                <w:rFonts w:ascii="Cambria" w:hAnsi="Cambria"/>
                <w:lang w:val="sr-Cyrl-RS"/>
              </w:rPr>
            </w:pPr>
          </w:p>
        </w:tc>
        <w:tc>
          <w:tcPr>
            <w:tcW w:w="1350" w:type="dxa"/>
            <w:shd w:val="clear" w:color="auto" w:fill="auto"/>
          </w:tcPr>
          <w:p w14:paraId="22C5A7B1"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13BEF7A9"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202FD761"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66665491"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7EC71E95" w14:textId="0F6595EE" w:rsidR="001C7C0D" w:rsidRPr="00835B9C" w:rsidRDefault="004E2D64" w:rsidP="001C7C0D">
            <w:pPr>
              <w:spacing w:before="20" w:after="20"/>
              <w:rPr>
                <w:rFonts w:ascii="Cambria" w:hAnsi="Cambria"/>
                <w:lang w:val="sr-Cyrl-RS"/>
              </w:rPr>
            </w:pPr>
            <w:r>
              <w:rPr>
                <w:rFonts w:ascii="Cambria" w:hAnsi="Cambria"/>
                <w:lang w:val="sr-Cyrl-RS"/>
              </w:rPr>
              <w:t>х</w:t>
            </w:r>
          </w:p>
        </w:tc>
        <w:tc>
          <w:tcPr>
            <w:tcW w:w="578" w:type="dxa"/>
            <w:shd w:val="clear" w:color="auto" w:fill="auto"/>
          </w:tcPr>
          <w:p w14:paraId="37ED2727"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2003C1BC"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4B2C1679"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7566FD3D" w14:textId="63BE4762" w:rsidR="001C7C0D" w:rsidRPr="00835B9C" w:rsidRDefault="004E2D64" w:rsidP="001C7C0D">
            <w:pPr>
              <w:spacing w:before="20" w:after="20"/>
              <w:rPr>
                <w:rFonts w:ascii="Cambria" w:hAnsi="Cambria"/>
                <w:lang w:val="sr-Cyrl-RS"/>
              </w:rPr>
            </w:pPr>
            <w:r>
              <w:rPr>
                <w:rFonts w:ascii="Cambria" w:hAnsi="Cambria"/>
                <w:lang w:val="sr-Cyrl-RS"/>
              </w:rPr>
              <w:t>х</w:t>
            </w:r>
          </w:p>
        </w:tc>
      </w:tr>
      <w:tr w:rsidR="001C7C0D" w:rsidRPr="00835B9C" w14:paraId="45984DCD" w14:textId="77777777" w:rsidTr="00060B52">
        <w:tc>
          <w:tcPr>
            <w:tcW w:w="6237" w:type="dxa"/>
            <w:shd w:val="clear" w:color="auto" w:fill="auto"/>
          </w:tcPr>
          <w:p w14:paraId="35F55104" w14:textId="77777777" w:rsidR="001C7C0D" w:rsidRPr="00835B9C" w:rsidRDefault="001C7C0D" w:rsidP="001C7C0D">
            <w:pPr>
              <w:spacing w:before="20" w:after="20"/>
              <w:rPr>
                <w:rFonts w:ascii="Cambria" w:hAnsi="Cambria"/>
                <w:lang w:val="sr-Cyrl-RS"/>
              </w:rPr>
            </w:pPr>
            <w:bookmarkStart w:id="0" w:name="_GoBack"/>
            <w:bookmarkEnd w:id="0"/>
          </w:p>
        </w:tc>
        <w:tc>
          <w:tcPr>
            <w:tcW w:w="2835" w:type="dxa"/>
          </w:tcPr>
          <w:p w14:paraId="1F31E5EA" w14:textId="77777777" w:rsidR="001C7C0D" w:rsidRPr="00835B9C" w:rsidRDefault="001C7C0D" w:rsidP="001C7C0D">
            <w:pPr>
              <w:spacing w:before="20" w:after="20"/>
              <w:rPr>
                <w:rFonts w:ascii="Cambria" w:hAnsi="Cambria"/>
                <w:lang w:val="sr-Cyrl-RS"/>
              </w:rPr>
            </w:pPr>
          </w:p>
        </w:tc>
        <w:tc>
          <w:tcPr>
            <w:tcW w:w="1350" w:type="dxa"/>
            <w:shd w:val="clear" w:color="auto" w:fill="auto"/>
          </w:tcPr>
          <w:p w14:paraId="584E0538"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442B0C8F"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428DB446"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149B19A"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132F486D"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17FA2B28"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735661CA"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3F26E6E"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1683491B" w14:textId="77777777" w:rsidR="001C7C0D" w:rsidRPr="00835B9C" w:rsidRDefault="001C7C0D" w:rsidP="001C7C0D">
            <w:pPr>
              <w:spacing w:before="20" w:after="20"/>
              <w:rPr>
                <w:rFonts w:ascii="Cambria" w:hAnsi="Cambria"/>
                <w:lang w:val="sr-Cyrl-RS"/>
              </w:rPr>
            </w:pPr>
          </w:p>
        </w:tc>
      </w:tr>
      <w:tr w:rsidR="001C7C0D" w:rsidRPr="00835B9C" w14:paraId="7A3EFCF7" w14:textId="77777777" w:rsidTr="00060B52">
        <w:tc>
          <w:tcPr>
            <w:tcW w:w="6237" w:type="dxa"/>
            <w:shd w:val="clear" w:color="auto" w:fill="auto"/>
          </w:tcPr>
          <w:p w14:paraId="7EED85C3" w14:textId="77777777" w:rsidR="001C7C0D" w:rsidRPr="00835B9C" w:rsidRDefault="001C7C0D" w:rsidP="001C7C0D">
            <w:pPr>
              <w:spacing w:before="20" w:after="20"/>
              <w:rPr>
                <w:rFonts w:ascii="Cambria" w:hAnsi="Cambria"/>
                <w:lang w:val="sr-Cyrl-RS"/>
              </w:rPr>
            </w:pPr>
          </w:p>
        </w:tc>
        <w:tc>
          <w:tcPr>
            <w:tcW w:w="2835" w:type="dxa"/>
          </w:tcPr>
          <w:p w14:paraId="7931974D" w14:textId="77777777" w:rsidR="001C7C0D" w:rsidRPr="00835B9C" w:rsidRDefault="001C7C0D" w:rsidP="001C7C0D">
            <w:pPr>
              <w:spacing w:before="20" w:after="20"/>
              <w:rPr>
                <w:rFonts w:ascii="Cambria" w:hAnsi="Cambria"/>
                <w:lang w:val="sr-Cyrl-RS"/>
              </w:rPr>
            </w:pPr>
          </w:p>
        </w:tc>
        <w:tc>
          <w:tcPr>
            <w:tcW w:w="1350" w:type="dxa"/>
            <w:shd w:val="clear" w:color="auto" w:fill="auto"/>
          </w:tcPr>
          <w:p w14:paraId="7E8662C6"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0488453D"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7AD4D9A6"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2AEA0C0"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1059D1E0"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60D535F8"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6E8462C0"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67CD6306"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4D5CC002" w14:textId="77777777" w:rsidR="001C7C0D" w:rsidRPr="00835B9C" w:rsidRDefault="001C7C0D" w:rsidP="001C7C0D">
            <w:pPr>
              <w:spacing w:before="20" w:after="20"/>
              <w:rPr>
                <w:rFonts w:ascii="Cambria" w:hAnsi="Cambria"/>
                <w:lang w:val="sr-Cyrl-RS"/>
              </w:rPr>
            </w:pPr>
          </w:p>
        </w:tc>
      </w:tr>
      <w:tr w:rsidR="001C7C0D" w:rsidRPr="00835B9C" w14:paraId="0DAE3FC5" w14:textId="77777777" w:rsidTr="00060B52">
        <w:tc>
          <w:tcPr>
            <w:tcW w:w="6237" w:type="dxa"/>
            <w:shd w:val="clear" w:color="auto" w:fill="auto"/>
          </w:tcPr>
          <w:p w14:paraId="5D7B93AD" w14:textId="77777777" w:rsidR="001C7C0D" w:rsidRPr="00835B9C" w:rsidRDefault="001C7C0D" w:rsidP="001C7C0D">
            <w:pPr>
              <w:spacing w:before="20" w:after="20"/>
              <w:rPr>
                <w:rFonts w:ascii="Cambria" w:hAnsi="Cambria"/>
                <w:lang w:val="sr-Cyrl-RS"/>
              </w:rPr>
            </w:pPr>
          </w:p>
        </w:tc>
        <w:tc>
          <w:tcPr>
            <w:tcW w:w="2835" w:type="dxa"/>
          </w:tcPr>
          <w:p w14:paraId="68DD4F1A" w14:textId="77777777" w:rsidR="001C7C0D" w:rsidRPr="00835B9C" w:rsidRDefault="001C7C0D" w:rsidP="001C7C0D">
            <w:pPr>
              <w:spacing w:before="20" w:after="20"/>
              <w:rPr>
                <w:rFonts w:ascii="Cambria" w:hAnsi="Cambria"/>
                <w:lang w:val="sr-Cyrl-RS"/>
              </w:rPr>
            </w:pPr>
          </w:p>
        </w:tc>
        <w:tc>
          <w:tcPr>
            <w:tcW w:w="1350" w:type="dxa"/>
            <w:shd w:val="clear" w:color="auto" w:fill="auto"/>
          </w:tcPr>
          <w:p w14:paraId="0D3090EF"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1B34D74D"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55345A78"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47FA1F5"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3F751137"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09224353"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027D808D"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23B959F2"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18BC5FA7" w14:textId="77777777" w:rsidR="001C7C0D" w:rsidRPr="00835B9C" w:rsidRDefault="001C7C0D" w:rsidP="001C7C0D">
            <w:pPr>
              <w:spacing w:before="20" w:after="20"/>
              <w:rPr>
                <w:rFonts w:ascii="Cambria" w:hAnsi="Cambria"/>
                <w:lang w:val="sr-Cyrl-RS"/>
              </w:rPr>
            </w:pPr>
          </w:p>
        </w:tc>
      </w:tr>
      <w:tr w:rsidR="001C7C0D" w:rsidRPr="00835B9C" w14:paraId="150B919A" w14:textId="77777777" w:rsidTr="00060B52">
        <w:tc>
          <w:tcPr>
            <w:tcW w:w="6237" w:type="dxa"/>
            <w:shd w:val="clear" w:color="auto" w:fill="auto"/>
          </w:tcPr>
          <w:p w14:paraId="70D12196" w14:textId="77777777" w:rsidR="001C7C0D" w:rsidRPr="00835B9C" w:rsidRDefault="001C7C0D" w:rsidP="001C7C0D">
            <w:pPr>
              <w:spacing w:before="20" w:after="20"/>
              <w:rPr>
                <w:rFonts w:ascii="Cambria" w:hAnsi="Cambria"/>
                <w:lang w:val="sr-Cyrl-RS"/>
              </w:rPr>
            </w:pPr>
          </w:p>
        </w:tc>
        <w:tc>
          <w:tcPr>
            <w:tcW w:w="2835" w:type="dxa"/>
          </w:tcPr>
          <w:p w14:paraId="22025A1A" w14:textId="77777777" w:rsidR="001C7C0D" w:rsidRPr="00835B9C" w:rsidRDefault="001C7C0D" w:rsidP="001C7C0D">
            <w:pPr>
              <w:spacing w:before="20" w:after="20"/>
              <w:rPr>
                <w:rFonts w:ascii="Cambria" w:hAnsi="Cambria"/>
                <w:lang w:val="sr-Cyrl-RS"/>
              </w:rPr>
            </w:pPr>
          </w:p>
        </w:tc>
        <w:tc>
          <w:tcPr>
            <w:tcW w:w="1350" w:type="dxa"/>
            <w:shd w:val="clear" w:color="auto" w:fill="auto"/>
          </w:tcPr>
          <w:p w14:paraId="4F474C6B"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7D4B8ED1"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56B2E1FC"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27945657"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00C120A0"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0C0D4583"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74306C95"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00C28C1A"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428575F8" w14:textId="77777777" w:rsidR="001C7C0D" w:rsidRPr="00835B9C" w:rsidRDefault="001C7C0D" w:rsidP="001C7C0D">
            <w:pPr>
              <w:spacing w:before="20" w:after="20"/>
              <w:rPr>
                <w:rFonts w:ascii="Cambria" w:hAnsi="Cambria"/>
                <w:lang w:val="sr-Cyrl-RS"/>
              </w:rPr>
            </w:pPr>
          </w:p>
        </w:tc>
      </w:tr>
      <w:tr w:rsidR="001C7C0D" w:rsidRPr="00835B9C" w14:paraId="45BBB538" w14:textId="77777777" w:rsidTr="00060B52">
        <w:tc>
          <w:tcPr>
            <w:tcW w:w="6237" w:type="dxa"/>
            <w:shd w:val="clear" w:color="auto" w:fill="auto"/>
          </w:tcPr>
          <w:p w14:paraId="77DD6C1A" w14:textId="77777777" w:rsidR="001C7C0D" w:rsidRPr="00835B9C" w:rsidRDefault="001C7C0D" w:rsidP="001C7C0D">
            <w:pPr>
              <w:spacing w:before="20" w:after="20"/>
              <w:rPr>
                <w:rFonts w:ascii="Cambria" w:hAnsi="Cambria"/>
                <w:lang w:val="sr-Cyrl-RS"/>
              </w:rPr>
            </w:pPr>
          </w:p>
        </w:tc>
        <w:tc>
          <w:tcPr>
            <w:tcW w:w="2835" w:type="dxa"/>
          </w:tcPr>
          <w:p w14:paraId="04891344" w14:textId="77777777" w:rsidR="001C7C0D" w:rsidRPr="00835B9C" w:rsidRDefault="001C7C0D" w:rsidP="001C7C0D">
            <w:pPr>
              <w:spacing w:before="20" w:after="20"/>
              <w:rPr>
                <w:rFonts w:ascii="Cambria" w:hAnsi="Cambria"/>
                <w:lang w:val="sr-Cyrl-RS"/>
              </w:rPr>
            </w:pPr>
          </w:p>
        </w:tc>
        <w:tc>
          <w:tcPr>
            <w:tcW w:w="1350" w:type="dxa"/>
            <w:shd w:val="clear" w:color="auto" w:fill="auto"/>
          </w:tcPr>
          <w:p w14:paraId="19B4C7E2"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4764FB13"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0800D6CE"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233D5A94"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03C8AD05"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44A256B5"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22E538F2"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4EC65190"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2933DD40" w14:textId="77777777" w:rsidR="001C7C0D" w:rsidRPr="00835B9C" w:rsidRDefault="001C7C0D" w:rsidP="001C7C0D">
            <w:pPr>
              <w:spacing w:before="20" w:after="20"/>
              <w:rPr>
                <w:rFonts w:ascii="Cambria" w:hAnsi="Cambria"/>
                <w:lang w:val="sr-Cyrl-RS"/>
              </w:rPr>
            </w:pPr>
          </w:p>
        </w:tc>
      </w:tr>
      <w:tr w:rsidR="001C7C0D" w:rsidRPr="00835B9C" w14:paraId="7D1F27B0" w14:textId="77777777" w:rsidTr="00060B52">
        <w:tc>
          <w:tcPr>
            <w:tcW w:w="6237" w:type="dxa"/>
            <w:shd w:val="clear" w:color="auto" w:fill="auto"/>
          </w:tcPr>
          <w:p w14:paraId="4D23FE6F" w14:textId="77777777" w:rsidR="001C7C0D" w:rsidRPr="00835B9C" w:rsidRDefault="001C7C0D" w:rsidP="001C7C0D">
            <w:pPr>
              <w:spacing w:before="20" w:after="20"/>
              <w:rPr>
                <w:rFonts w:ascii="Cambria" w:hAnsi="Cambria"/>
                <w:lang w:val="sr-Cyrl-RS"/>
              </w:rPr>
            </w:pPr>
          </w:p>
        </w:tc>
        <w:tc>
          <w:tcPr>
            <w:tcW w:w="2835" w:type="dxa"/>
          </w:tcPr>
          <w:p w14:paraId="78E4C109" w14:textId="77777777" w:rsidR="001C7C0D" w:rsidRPr="00835B9C" w:rsidRDefault="001C7C0D" w:rsidP="001C7C0D">
            <w:pPr>
              <w:spacing w:before="20" w:after="20"/>
              <w:rPr>
                <w:rFonts w:ascii="Cambria" w:hAnsi="Cambria"/>
                <w:lang w:val="sr-Cyrl-RS"/>
              </w:rPr>
            </w:pPr>
          </w:p>
        </w:tc>
        <w:tc>
          <w:tcPr>
            <w:tcW w:w="1350" w:type="dxa"/>
            <w:shd w:val="clear" w:color="auto" w:fill="auto"/>
          </w:tcPr>
          <w:p w14:paraId="7ACE78DE"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DFFCD90"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397E0353"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32526437"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1DDB5C63"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0374039B"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14BB0948"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665FDCEE"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06AB8522" w14:textId="77777777" w:rsidR="001C7C0D" w:rsidRPr="00835B9C" w:rsidRDefault="001C7C0D" w:rsidP="001C7C0D">
            <w:pPr>
              <w:spacing w:before="20" w:after="20"/>
              <w:rPr>
                <w:rFonts w:ascii="Cambria" w:hAnsi="Cambria"/>
                <w:lang w:val="sr-Cyrl-RS"/>
              </w:rPr>
            </w:pPr>
          </w:p>
        </w:tc>
      </w:tr>
      <w:tr w:rsidR="001C7C0D" w:rsidRPr="00835B9C" w14:paraId="59C04BC5" w14:textId="77777777" w:rsidTr="00060B52">
        <w:tc>
          <w:tcPr>
            <w:tcW w:w="6237" w:type="dxa"/>
            <w:shd w:val="clear" w:color="auto" w:fill="auto"/>
          </w:tcPr>
          <w:p w14:paraId="2F428FF0" w14:textId="77777777" w:rsidR="001C7C0D" w:rsidRPr="00835B9C" w:rsidRDefault="001C7C0D" w:rsidP="001C7C0D">
            <w:pPr>
              <w:spacing w:before="20" w:after="20"/>
              <w:rPr>
                <w:rFonts w:ascii="Cambria" w:hAnsi="Cambria"/>
                <w:lang w:val="sr-Cyrl-RS"/>
              </w:rPr>
            </w:pPr>
          </w:p>
        </w:tc>
        <w:tc>
          <w:tcPr>
            <w:tcW w:w="2835" w:type="dxa"/>
          </w:tcPr>
          <w:p w14:paraId="2798AD8D" w14:textId="77777777" w:rsidR="001C7C0D" w:rsidRPr="00835B9C" w:rsidRDefault="001C7C0D" w:rsidP="001C7C0D">
            <w:pPr>
              <w:spacing w:before="20" w:after="20"/>
              <w:rPr>
                <w:rFonts w:ascii="Cambria" w:hAnsi="Cambria"/>
                <w:lang w:val="sr-Cyrl-RS"/>
              </w:rPr>
            </w:pPr>
          </w:p>
        </w:tc>
        <w:tc>
          <w:tcPr>
            <w:tcW w:w="1350" w:type="dxa"/>
            <w:shd w:val="clear" w:color="auto" w:fill="auto"/>
          </w:tcPr>
          <w:p w14:paraId="2746B904"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F348A2B"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7DA58AE7"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2CEC6B7"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61AA2BA0"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58588E76" w14:textId="77777777" w:rsidR="001C7C0D" w:rsidRPr="00835B9C" w:rsidRDefault="001C7C0D" w:rsidP="001C7C0D">
            <w:pPr>
              <w:spacing w:before="20" w:after="20"/>
              <w:rPr>
                <w:rFonts w:ascii="Cambria" w:hAnsi="Cambria"/>
                <w:lang w:val="sr-Cyrl-RS"/>
              </w:rPr>
            </w:pPr>
          </w:p>
        </w:tc>
        <w:tc>
          <w:tcPr>
            <w:tcW w:w="577" w:type="dxa"/>
            <w:shd w:val="clear" w:color="auto" w:fill="auto"/>
          </w:tcPr>
          <w:p w14:paraId="585E2FF0" w14:textId="77777777" w:rsidR="001C7C0D" w:rsidRPr="00835B9C" w:rsidRDefault="001C7C0D" w:rsidP="001C7C0D">
            <w:pPr>
              <w:spacing w:before="20" w:after="20"/>
              <w:rPr>
                <w:rFonts w:ascii="Cambria" w:hAnsi="Cambria"/>
                <w:lang w:val="sr-Cyrl-RS"/>
              </w:rPr>
            </w:pPr>
          </w:p>
        </w:tc>
        <w:tc>
          <w:tcPr>
            <w:tcW w:w="578" w:type="dxa"/>
            <w:shd w:val="clear" w:color="auto" w:fill="auto"/>
          </w:tcPr>
          <w:p w14:paraId="3061F9AF" w14:textId="77777777" w:rsidR="001C7C0D" w:rsidRPr="00835B9C" w:rsidRDefault="001C7C0D" w:rsidP="001C7C0D">
            <w:pPr>
              <w:spacing w:before="20" w:after="20"/>
              <w:rPr>
                <w:rFonts w:ascii="Cambria" w:hAnsi="Cambria"/>
                <w:lang w:val="sr-Cyrl-RS"/>
              </w:rPr>
            </w:pPr>
          </w:p>
        </w:tc>
        <w:tc>
          <w:tcPr>
            <w:tcW w:w="551" w:type="dxa"/>
            <w:shd w:val="clear" w:color="auto" w:fill="auto"/>
          </w:tcPr>
          <w:p w14:paraId="39B46CD7" w14:textId="77777777" w:rsidR="001C7C0D" w:rsidRPr="00835B9C" w:rsidRDefault="001C7C0D" w:rsidP="001C7C0D">
            <w:pPr>
              <w:spacing w:before="20" w:after="20"/>
              <w:rPr>
                <w:rFonts w:ascii="Cambria" w:hAnsi="Cambria"/>
                <w:lang w:val="sr-Cyrl-RS"/>
              </w:rPr>
            </w:pPr>
          </w:p>
        </w:tc>
      </w:tr>
    </w:tbl>
    <w:p w14:paraId="0A86574F" w14:textId="77777777" w:rsidR="00060B52" w:rsidRPr="00835B9C" w:rsidRDefault="00060B52">
      <w:pPr>
        <w:rPr>
          <w:rFonts w:ascii="Cambria" w:hAnsi="Cambria"/>
          <w:lang w:val="sr-Cyrl-RS"/>
        </w:rPr>
      </w:pPr>
    </w:p>
    <w:sectPr w:rsidR="00060B52" w:rsidRPr="00835B9C" w:rsidSect="00060B52">
      <w:headerReference w:type="default" r:id="rId7"/>
      <w:footerReference w:type="default" r:id="rId8"/>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ED2F7" w14:textId="77777777" w:rsidR="004476A6" w:rsidRDefault="004476A6" w:rsidP="00DF5DD5">
      <w:pPr>
        <w:spacing w:after="0" w:line="240" w:lineRule="auto"/>
      </w:pPr>
      <w:r>
        <w:separator/>
      </w:r>
    </w:p>
  </w:endnote>
  <w:endnote w:type="continuationSeparator" w:id="0">
    <w:p w14:paraId="05D4D182" w14:textId="77777777" w:rsidR="004476A6" w:rsidRDefault="004476A6"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557670"/>
      <w:docPartObj>
        <w:docPartGallery w:val="Page Numbers (Bottom of Page)"/>
        <w:docPartUnique/>
      </w:docPartObj>
    </w:sdtPr>
    <w:sdtEndPr>
      <w:rPr>
        <w:rFonts w:ascii="Cambria" w:hAnsi="Cambria"/>
        <w:noProof/>
      </w:rPr>
    </w:sdtEndPr>
    <w:sdtContent>
      <w:p w14:paraId="33B6DB8E" w14:textId="2CDD961A" w:rsidR="00835B9C" w:rsidRPr="00835B9C" w:rsidRDefault="00835B9C">
        <w:pPr>
          <w:pStyle w:val="Footer"/>
          <w:jc w:val="right"/>
          <w:rPr>
            <w:rFonts w:ascii="Cambria" w:hAnsi="Cambria"/>
          </w:rPr>
        </w:pPr>
        <w:r w:rsidRPr="00835B9C">
          <w:rPr>
            <w:rFonts w:ascii="Cambria" w:hAnsi="Cambria"/>
            <w:noProof/>
            <w:lang w:val="en-US"/>
          </w:rPr>
          <w:drawing>
            <wp:anchor distT="0" distB="0" distL="114300" distR="114300" simplePos="0" relativeHeight="251669504" behindDoc="0" locked="0" layoutInCell="1" allowOverlap="1" wp14:anchorId="71D12B54" wp14:editId="08663E05">
              <wp:simplePos x="0" y="0"/>
              <wp:positionH relativeFrom="page">
                <wp:align>center</wp:align>
              </wp:positionH>
              <wp:positionV relativeFrom="page">
                <wp:posOffset>9999980</wp:posOffset>
              </wp:positionV>
              <wp:extent cx="1260000" cy="10800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260000" cy="1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00D00B28">
          <w:rPr>
            <w:rFonts w:ascii="Cambria" w:hAnsi="Cambria"/>
            <w:noProof/>
          </w:rPr>
          <w:t>5</w:t>
        </w:r>
        <w:r w:rsidRPr="00835B9C">
          <w:rPr>
            <w:rFonts w:ascii="Cambria" w:hAnsi="Cambria"/>
            <w:noProof/>
          </w:rPr>
          <w:fldChar w:fldCharType="end"/>
        </w:r>
      </w:p>
    </w:sdtContent>
  </w:sdt>
  <w:p w14:paraId="59A73EB7" w14:textId="6D3F629C" w:rsidR="00DF5DD5" w:rsidRDefault="00DF5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61FDD" w14:textId="77777777" w:rsidR="004476A6" w:rsidRDefault="004476A6" w:rsidP="00DF5DD5">
      <w:pPr>
        <w:spacing w:after="0" w:line="240" w:lineRule="auto"/>
      </w:pPr>
      <w:r>
        <w:separator/>
      </w:r>
    </w:p>
  </w:footnote>
  <w:footnote w:type="continuationSeparator" w:id="0">
    <w:p w14:paraId="7C3D93F1" w14:textId="77777777" w:rsidR="004476A6" w:rsidRDefault="004476A6"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646D1" w14:textId="73236959" w:rsidR="00435DDC" w:rsidRDefault="00435DDC">
    <w:pPr>
      <w:pStyle w:val="Header"/>
    </w:pPr>
    <w:r>
      <w:rPr>
        <w:noProof/>
        <w:lang w:val="en-US"/>
      </w:rPr>
      <w:drawing>
        <wp:anchor distT="0" distB="0" distL="114300" distR="114300" simplePos="0" relativeHeight="251667456" behindDoc="0" locked="0" layoutInCell="1" allowOverlap="1" wp14:anchorId="36FD97EC" wp14:editId="28C1D1BD">
          <wp:simplePos x="0" y="0"/>
          <wp:positionH relativeFrom="page">
            <wp:align>center</wp:align>
          </wp:positionH>
          <wp:positionV relativeFrom="page">
            <wp:posOffset>269875</wp:posOffset>
          </wp:positionV>
          <wp:extent cx="6480000" cy="1083600"/>
          <wp:effectExtent l="0" t="0" r="0" b="25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6480000" cy="1083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DD5"/>
    <w:rsid w:val="00004B7B"/>
    <w:rsid w:val="00060B52"/>
    <w:rsid w:val="00140017"/>
    <w:rsid w:val="00161F1B"/>
    <w:rsid w:val="001C7C0D"/>
    <w:rsid w:val="00435DDC"/>
    <w:rsid w:val="004476A6"/>
    <w:rsid w:val="00471571"/>
    <w:rsid w:val="004D2E91"/>
    <w:rsid w:val="004D4A52"/>
    <w:rsid w:val="004D7519"/>
    <w:rsid w:val="004E2D64"/>
    <w:rsid w:val="00531FBB"/>
    <w:rsid w:val="005D2023"/>
    <w:rsid w:val="006B5C43"/>
    <w:rsid w:val="006C07BC"/>
    <w:rsid w:val="006F0F9A"/>
    <w:rsid w:val="006F21B4"/>
    <w:rsid w:val="007143FC"/>
    <w:rsid w:val="00733A4C"/>
    <w:rsid w:val="007B7E73"/>
    <w:rsid w:val="008050E5"/>
    <w:rsid w:val="00835B9C"/>
    <w:rsid w:val="00840E53"/>
    <w:rsid w:val="008B2F29"/>
    <w:rsid w:val="00925E70"/>
    <w:rsid w:val="009F2218"/>
    <w:rsid w:val="00A011D2"/>
    <w:rsid w:val="00A13D8A"/>
    <w:rsid w:val="00AF672E"/>
    <w:rsid w:val="00C037EB"/>
    <w:rsid w:val="00C04FFC"/>
    <w:rsid w:val="00C22D8F"/>
    <w:rsid w:val="00C4000A"/>
    <w:rsid w:val="00C769EE"/>
    <w:rsid w:val="00CE0E62"/>
    <w:rsid w:val="00D00B28"/>
    <w:rsid w:val="00D00B58"/>
    <w:rsid w:val="00D25DFC"/>
    <w:rsid w:val="00D640BA"/>
    <w:rsid w:val="00D7269F"/>
    <w:rsid w:val="00DF5DD5"/>
    <w:rsid w:val="00E9002D"/>
    <w:rsid w:val="00E90976"/>
    <w:rsid w:val="00EC415D"/>
    <w:rsid w:val="00F01165"/>
    <w:rsid w:val="00F016AA"/>
    <w:rsid w:val="00F636F0"/>
    <w:rsid w:val="00FD1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AEF78-DB27-4752-9605-FB79BE487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Bojan</cp:lastModifiedBy>
  <cp:revision>19</cp:revision>
  <cp:lastPrinted>2019-05-01T22:59:00Z</cp:lastPrinted>
  <dcterms:created xsi:type="dcterms:W3CDTF">2019-10-01T20:46:00Z</dcterms:created>
  <dcterms:modified xsi:type="dcterms:W3CDTF">2019-10-20T20:14:00Z</dcterms:modified>
</cp:coreProperties>
</file>